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A3" w:rsidRPr="007B1B4D" w:rsidRDefault="00DA35A3" w:rsidP="00DA35A3">
      <w:pPr>
        <w:spacing w:after="0" w:line="259" w:lineRule="auto"/>
        <w:ind w:left="4956" w:firstLine="708"/>
      </w:pPr>
      <w:r w:rsidRPr="007B1B4D">
        <w:t>Додаток №2</w:t>
      </w:r>
    </w:p>
    <w:p w:rsidR="00DA35A3" w:rsidRPr="007B1B4D" w:rsidRDefault="00DA35A3" w:rsidP="00DA35A3">
      <w:pPr>
        <w:spacing w:after="0"/>
        <w:ind w:left="0" w:right="93" w:firstLine="0"/>
      </w:pPr>
      <w:r>
        <w:tab/>
      </w:r>
      <w:r>
        <w:tab/>
      </w:r>
      <w:r>
        <w:tab/>
      </w:r>
      <w:r>
        <w:tab/>
      </w:r>
      <w:r>
        <w:tab/>
      </w:r>
      <w:r>
        <w:tab/>
      </w:r>
      <w:r w:rsidRPr="007B1B4D">
        <w:tab/>
        <w:t>до договору про постачання електричної енергії</w:t>
      </w:r>
      <w:r w:rsidRPr="007B1B4D">
        <w:tab/>
      </w:r>
      <w:r w:rsidRPr="007B1B4D">
        <w:tab/>
      </w:r>
      <w:r w:rsidRPr="007B1B4D">
        <w:tab/>
      </w:r>
      <w:r w:rsidRPr="007B1B4D">
        <w:tab/>
      </w:r>
      <w:r w:rsidRPr="007B1B4D">
        <w:tab/>
      </w:r>
      <w:r w:rsidRPr="007B1B4D">
        <w:tab/>
      </w:r>
      <w:r w:rsidRPr="007B1B4D">
        <w:tab/>
      </w:r>
      <w:r w:rsidRPr="007B1B4D">
        <w:tab/>
        <w:t>споживачу __________________ від_______________</w:t>
      </w:r>
    </w:p>
    <w:p w:rsidR="00DA35A3" w:rsidRDefault="00DA35A3" w:rsidP="00DA35A3">
      <w:pPr>
        <w:spacing w:after="0" w:line="402" w:lineRule="auto"/>
        <w:ind w:left="0" w:right="18" w:firstLine="0"/>
        <w:rPr>
          <w:b/>
          <w:i/>
        </w:rPr>
      </w:pPr>
      <w:r w:rsidRPr="007B1B4D">
        <w:rPr>
          <w:b/>
          <w:i/>
        </w:rPr>
        <w:t xml:space="preserve">                                        </w:t>
      </w:r>
    </w:p>
    <w:p w:rsidR="00DA35A3" w:rsidRDefault="00DA35A3" w:rsidP="00DA35A3">
      <w:pPr>
        <w:spacing w:after="0" w:line="402" w:lineRule="auto"/>
        <w:ind w:left="708" w:right="18" w:firstLine="708"/>
        <w:rPr>
          <w:b/>
          <w:i/>
          <w:sz w:val="22"/>
        </w:rPr>
      </w:pPr>
      <w:r w:rsidRPr="00FF352D">
        <w:rPr>
          <w:b/>
          <w:i/>
          <w:sz w:val="22"/>
        </w:rPr>
        <w:t xml:space="preserve">     Комерційна пропозиція з постачання електричної енергії споживачу</w:t>
      </w:r>
    </w:p>
    <w:p w:rsidR="00DA35A3" w:rsidRPr="00EE1C00" w:rsidRDefault="00DA35A3" w:rsidP="00DA35A3">
      <w:pPr>
        <w:spacing w:after="0" w:line="402" w:lineRule="auto"/>
        <w:ind w:left="0" w:right="18" w:firstLine="567"/>
        <w:rPr>
          <w:b/>
        </w:rPr>
      </w:pPr>
      <w:r w:rsidRPr="007B1B4D">
        <w:rPr>
          <w:b/>
        </w:rPr>
        <w:t xml:space="preserve">Споживач: </w:t>
      </w:r>
    </w:p>
    <w:p w:rsidR="00DA35A3" w:rsidRPr="007B1B4D" w:rsidRDefault="00DA35A3" w:rsidP="00DA35A3">
      <w:pPr>
        <w:ind w:left="0" w:right="88" w:firstLine="567"/>
      </w:pPr>
      <w:r w:rsidRPr="007B1B4D">
        <w:rPr>
          <w:b/>
        </w:rPr>
        <w:t xml:space="preserve">Постачальник: ТОВ «ОДЕСЕНЕРГОТРЕЙД» </w:t>
      </w:r>
      <w:r w:rsidRPr="007B1B4D">
        <w:t>яке здійснює діяльність на території  України на підставі ліцензії на впровадження господарської діяльності з постачання електричної енергії споживачу, виданої згідно з постановою НКРЕКП № 505  від 19.06.2018 р., пропонує розглянути наступну комерційну пропозицію.</w:t>
      </w:r>
    </w:p>
    <w:p w:rsidR="00DA35A3" w:rsidRPr="007B1B4D" w:rsidRDefault="00DA35A3" w:rsidP="00DA35A3">
      <w:pPr>
        <w:ind w:left="0" w:right="91" w:firstLine="567"/>
      </w:pPr>
      <w:r w:rsidRPr="007B1B4D">
        <w:t>Дана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за № 312 (далі – ПРРЕЕ).</w:t>
      </w:r>
    </w:p>
    <w:p w:rsidR="00DA35A3" w:rsidRDefault="00DA35A3" w:rsidP="00DA35A3">
      <w:pPr>
        <w:ind w:left="0" w:right="86" w:firstLine="567"/>
      </w:pPr>
      <w:r w:rsidRPr="007B1B4D">
        <w:rPr>
          <w:b/>
        </w:rPr>
        <w:t>Територія діяльності:</w:t>
      </w:r>
      <w:r w:rsidRPr="007B1B4D">
        <w:rPr>
          <w:b/>
          <w:i/>
        </w:rPr>
        <w:t xml:space="preserve"> </w:t>
      </w:r>
      <w:r w:rsidRPr="007B1B4D">
        <w:rPr>
          <w:b/>
        </w:rPr>
        <w:t>ТОВ «ОДЕСЕНЕРГОТРЕЙД»</w:t>
      </w:r>
      <w:r w:rsidRPr="007B1B4D">
        <w:rPr>
          <w:b/>
          <w:i/>
        </w:rPr>
        <w:t xml:space="preserve"> </w:t>
      </w:r>
      <w:r w:rsidRPr="007B1B4D">
        <w:t>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(далі-Оператори) Договорів електропостачальника про надання послуг з розподілу (передачу) електричної енергії.</w:t>
      </w:r>
    </w:p>
    <w:p w:rsidR="00DA35A3" w:rsidRPr="007B1B4D" w:rsidRDefault="00DA35A3" w:rsidP="00DA35A3">
      <w:pPr>
        <w:ind w:left="0" w:right="86" w:firstLine="567"/>
      </w:pPr>
      <w:r>
        <w:t xml:space="preserve">Споживач входить до балансуючої групи Постачальника </w:t>
      </w:r>
      <w:r w:rsidRPr="00A934CB">
        <w:rPr>
          <w:b/>
        </w:rPr>
        <w:t>ТОВ «ОДЕСЕНЕРГОТРЕЙД»</w:t>
      </w:r>
      <w:r>
        <w:t>.</w:t>
      </w:r>
    </w:p>
    <w:p w:rsidR="00DA35A3" w:rsidRPr="007B1B4D" w:rsidRDefault="00DA35A3" w:rsidP="00DA35A3">
      <w:pPr>
        <w:ind w:left="0" w:firstLine="567"/>
      </w:pPr>
      <w:r w:rsidRPr="007B1B4D">
        <w:rPr>
          <w:b/>
        </w:rPr>
        <w:t xml:space="preserve">Предмет комерційної пропозиції: </w:t>
      </w:r>
      <w:r w:rsidRPr="007B1B4D">
        <w:t>Постачання електричної енергії як товарної продукції.</w:t>
      </w:r>
    </w:p>
    <w:p w:rsidR="00DA35A3" w:rsidRPr="007B1B4D" w:rsidRDefault="00DA35A3" w:rsidP="00DA35A3">
      <w:pPr>
        <w:numPr>
          <w:ilvl w:val="0"/>
          <w:numId w:val="1"/>
        </w:numPr>
        <w:spacing w:after="4" w:line="271" w:lineRule="auto"/>
        <w:ind w:left="0" w:firstLine="567"/>
      </w:pPr>
      <w:r w:rsidRPr="007B1B4D">
        <w:rPr>
          <w:b/>
        </w:rPr>
        <w:t>Ціна за електричну енергію для споживача (грн. за 1 кВт*год без ПДВ) визначається по формулі:</w:t>
      </w:r>
    </w:p>
    <w:p w:rsidR="00DA35A3" w:rsidRPr="007B1B4D" w:rsidRDefault="00DA35A3" w:rsidP="00DA35A3">
      <w:pPr>
        <w:spacing w:after="91" w:line="259" w:lineRule="auto"/>
        <w:ind w:left="2124" w:right="89" w:firstLine="708"/>
        <w:rPr>
          <w:b/>
          <w:i/>
        </w:rPr>
      </w:pPr>
      <w:r w:rsidRPr="007B1B4D">
        <w:rPr>
          <w:b/>
          <w:i/>
        </w:rPr>
        <w:t xml:space="preserve">                         (формула № 1)</w:t>
      </w:r>
    </w:p>
    <w:p w:rsidR="00DA35A3" w:rsidRPr="007B1B4D" w:rsidRDefault="00DA35A3" w:rsidP="00DA35A3">
      <w:pPr>
        <w:spacing w:after="91" w:line="259" w:lineRule="auto"/>
        <w:ind w:left="2124" w:right="89" w:firstLine="708"/>
        <w:rPr>
          <w:sz w:val="22"/>
        </w:rPr>
      </w:pPr>
      <w:r>
        <w:rPr>
          <w:b/>
          <w:i/>
          <w:sz w:val="22"/>
        </w:rPr>
        <w:t xml:space="preserve"> Ц</w:t>
      </w:r>
      <w:r>
        <w:rPr>
          <w:b/>
          <w:i/>
          <w:sz w:val="22"/>
          <w:lang w:val="ru-RU"/>
        </w:rPr>
        <w:t xml:space="preserve"> </w:t>
      </w:r>
      <w:r>
        <w:rPr>
          <w:b/>
          <w:i/>
          <w:sz w:val="22"/>
        </w:rPr>
        <w:t>=</w:t>
      </w:r>
      <w:r>
        <w:rPr>
          <w:b/>
          <w:i/>
          <w:sz w:val="22"/>
          <w:lang w:val="ru-RU"/>
        </w:rPr>
        <w:t xml:space="preserve"> (</w:t>
      </w:r>
      <w:r w:rsidRPr="007B1B4D">
        <w:rPr>
          <w:b/>
          <w:i/>
          <w:sz w:val="22"/>
        </w:rPr>
        <w:t>В</w:t>
      </w:r>
      <w:r w:rsidRPr="007B1B4D">
        <w:rPr>
          <w:b/>
          <w:i/>
          <w:sz w:val="16"/>
          <w:szCs w:val="16"/>
        </w:rPr>
        <w:t>1</w:t>
      </w:r>
      <w:r w:rsidRPr="007B1B4D">
        <w:rPr>
          <w:b/>
          <w:i/>
          <w:sz w:val="22"/>
        </w:rPr>
        <w:t xml:space="preserve"> / W + </w:t>
      </w:r>
      <w:proofErr w:type="spellStart"/>
      <w:r w:rsidRPr="007B1B4D">
        <w:rPr>
          <w:b/>
          <w:i/>
          <w:sz w:val="22"/>
        </w:rPr>
        <w:t>Т</w:t>
      </w:r>
      <w:r w:rsidRPr="007B1B4D">
        <w:rPr>
          <w:b/>
          <w:i/>
          <w:sz w:val="16"/>
          <w:szCs w:val="16"/>
        </w:rPr>
        <w:t>осп</w:t>
      </w:r>
      <w:proofErr w:type="spellEnd"/>
      <w:r w:rsidRPr="007B1B4D">
        <w:rPr>
          <w:sz w:val="22"/>
        </w:rPr>
        <w:t xml:space="preserve"> </w:t>
      </w:r>
      <w:r>
        <w:rPr>
          <w:sz w:val="22"/>
          <w:lang w:val="ru-RU"/>
        </w:rPr>
        <w:t xml:space="preserve">+ </w:t>
      </w:r>
      <w:proofErr w:type="spellStart"/>
      <w:r w:rsidRPr="009D645E">
        <w:rPr>
          <w:b/>
          <w:sz w:val="22"/>
          <w:lang w:val="ru-RU"/>
        </w:rPr>
        <w:t>Т</w:t>
      </w:r>
      <w:r w:rsidRPr="00B07069">
        <w:rPr>
          <w:b/>
          <w:i/>
          <w:sz w:val="16"/>
          <w:szCs w:val="16"/>
          <w:lang w:val="ru-RU"/>
        </w:rPr>
        <w:t>пос</w:t>
      </w:r>
      <w:proofErr w:type="spellEnd"/>
      <w:r>
        <w:rPr>
          <w:sz w:val="22"/>
          <w:lang w:val="ru-RU"/>
        </w:rPr>
        <w:t xml:space="preserve"> )*</w:t>
      </w:r>
      <w:r>
        <w:rPr>
          <w:sz w:val="22"/>
          <w:lang w:val="en-US"/>
        </w:rPr>
        <w:t>W</w:t>
      </w:r>
      <w:r w:rsidRPr="004639C3">
        <w:rPr>
          <w:sz w:val="22"/>
          <w:lang w:val="ru-RU"/>
        </w:rPr>
        <w:t xml:space="preserve"> + </w:t>
      </w:r>
      <w:r w:rsidRPr="007B1B4D">
        <w:rPr>
          <w:b/>
          <w:i/>
          <w:sz w:val="22"/>
        </w:rPr>
        <w:t>В</w:t>
      </w:r>
      <w:r>
        <w:rPr>
          <w:b/>
          <w:i/>
          <w:sz w:val="16"/>
          <w:szCs w:val="16"/>
          <w:lang w:val="ru-RU"/>
        </w:rPr>
        <w:t>н</w:t>
      </w:r>
      <w:r w:rsidRPr="004639C3">
        <w:rPr>
          <w:sz w:val="22"/>
          <w:lang w:val="ru-RU"/>
        </w:rPr>
        <w:t xml:space="preserve"> </w:t>
      </w:r>
      <w:r>
        <w:rPr>
          <w:sz w:val="22"/>
          <w:lang w:val="ru-RU"/>
        </w:rPr>
        <w:t>)/</w:t>
      </w:r>
      <w:r w:rsidRPr="004639C3">
        <w:rPr>
          <w:sz w:val="22"/>
          <w:lang w:val="ru-RU"/>
        </w:rPr>
        <w:t xml:space="preserve"> </w:t>
      </w:r>
      <w:r w:rsidRPr="0096068C">
        <w:rPr>
          <w:b/>
          <w:sz w:val="22"/>
          <w:lang w:val="en-US"/>
        </w:rPr>
        <w:t>W</w:t>
      </w:r>
      <w:r w:rsidRPr="007B1B4D">
        <w:rPr>
          <w:sz w:val="16"/>
          <w:szCs w:val="16"/>
        </w:rPr>
        <w:t xml:space="preserve"> (</w:t>
      </w:r>
      <w:r w:rsidRPr="007B1B4D">
        <w:rPr>
          <w:i/>
          <w:sz w:val="16"/>
          <w:szCs w:val="16"/>
        </w:rPr>
        <w:t>грн./кВт</w:t>
      </w:r>
      <w:r w:rsidRPr="007B1B4D">
        <w:rPr>
          <w:sz w:val="16"/>
          <w:szCs w:val="16"/>
        </w:rPr>
        <w:t>*</w:t>
      </w:r>
      <w:r w:rsidRPr="007B1B4D">
        <w:rPr>
          <w:i/>
          <w:sz w:val="16"/>
          <w:szCs w:val="16"/>
        </w:rPr>
        <w:t>год)</w:t>
      </w:r>
      <w:r w:rsidRPr="007B1B4D">
        <w:rPr>
          <w:sz w:val="22"/>
        </w:rPr>
        <w:t xml:space="preserve">   </w:t>
      </w:r>
    </w:p>
    <w:p w:rsidR="00DA35A3" w:rsidRPr="007B1B4D" w:rsidRDefault="00DA35A3" w:rsidP="00DA35A3">
      <w:pPr>
        <w:ind w:left="0" w:firstLine="567"/>
      </w:pPr>
      <w:r w:rsidRPr="007B1B4D">
        <w:rPr>
          <w:b/>
          <w:u w:val="single" w:color="000000"/>
        </w:rPr>
        <w:t>де,</w:t>
      </w:r>
      <w:r w:rsidRPr="007B1B4D">
        <w:t xml:space="preserve"> </w:t>
      </w:r>
      <w:r w:rsidRPr="007B1B4D">
        <w:rPr>
          <w:b/>
        </w:rPr>
        <w:t xml:space="preserve">Ц – </w:t>
      </w:r>
      <w:r w:rsidRPr="007B1B4D">
        <w:t>Ціна на електри</w:t>
      </w:r>
      <w:r>
        <w:t xml:space="preserve">чну енергію для споживача за 1 </w:t>
      </w:r>
      <w:r>
        <w:rPr>
          <w:lang w:val="ru-RU"/>
        </w:rPr>
        <w:t>к</w:t>
      </w:r>
      <w:r w:rsidRPr="007B1B4D">
        <w:t xml:space="preserve">Вт*год без урахування ПДВ, та послуг оператора системи розподілу. </w:t>
      </w:r>
    </w:p>
    <w:p w:rsidR="00DA35A3" w:rsidRDefault="00DA35A3" w:rsidP="00DA35A3">
      <w:pPr>
        <w:ind w:left="0" w:firstLine="567"/>
      </w:pPr>
      <w:r w:rsidRPr="007B1B4D">
        <w:rPr>
          <w:b/>
        </w:rPr>
        <w:t>В</w:t>
      </w:r>
      <w:r w:rsidRPr="007B1B4D">
        <w:rPr>
          <w:b/>
          <w:sz w:val="12"/>
        </w:rPr>
        <w:t>1</w:t>
      </w:r>
      <w:r w:rsidRPr="007B1B4D">
        <w:t xml:space="preserve"> </w:t>
      </w:r>
      <w:r>
        <w:t>–</w:t>
      </w:r>
      <w:r w:rsidRPr="007B1B4D">
        <w:t xml:space="preserve"> Вартість</w:t>
      </w:r>
      <w:r>
        <w:t xml:space="preserve"> обсягу</w:t>
      </w:r>
      <w:r w:rsidRPr="007B1B4D">
        <w:t xml:space="preserve"> електричної енергії</w:t>
      </w:r>
      <w:r w:rsidRPr="007B1B4D">
        <w:rPr>
          <w:b/>
          <w:sz w:val="22"/>
        </w:rPr>
        <w:t xml:space="preserve"> </w:t>
      </w:r>
      <w:r w:rsidRPr="007B1B4D">
        <w:t>що закуплена Постачальником для Споживача згідно правил роздрібного ринку електричної енергії,</w:t>
      </w:r>
      <w:r>
        <w:t xml:space="preserve"> що відповідає торгам на ринку</w:t>
      </w:r>
      <w:r w:rsidRPr="007B1B4D">
        <w:t xml:space="preserve"> РДН, згідно фактичного споживання електричної енергії на кожну годину доби розрахункового періоду, яка не включає в себе акцизний податок, внески на регулювання та вартість послуг Оператора ринку, що надаються на РДН/ВДР тощо;</w:t>
      </w:r>
    </w:p>
    <w:p w:rsidR="00DA35A3" w:rsidRPr="007B1B4D" w:rsidRDefault="00DA35A3" w:rsidP="00DA35A3">
      <w:pPr>
        <w:ind w:left="0" w:firstLine="567"/>
      </w:pPr>
      <w:r w:rsidRPr="007B1B4D">
        <w:rPr>
          <w:b/>
        </w:rPr>
        <w:t>В</w:t>
      </w:r>
      <w:r w:rsidRPr="004639C3">
        <w:rPr>
          <w:b/>
          <w:sz w:val="12"/>
        </w:rPr>
        <w:t>Н</w:t>
      </w:r>
      <w:r w:rsidRPr="007B1B4D">
        <w:t xml:space="preserve"> </w:t>
      </w:r>
      <w:r>
        <w:t>–</w:t>
      </w:r>
      <w:r w:rsidRPr="007B1B4D">
        <w:t xml:space="preserve"> Вартість</w:t>
      </w:r>
      <w:r>
        <w:t xml:space="preserve"> </w:t>
      </w:r>
      <w:r w:rsidRPr="004639C3">
        <w:t>розпод</w:t>
      </w:r>
      <w:r>
        <w:t>ілу небалансів балансуючої  групи постачальника які були закуплені чи продані постачальником на балансуючому ринку за минулий розрахунковий період, яка розраховується згідно фактичних погодинних обсягів споживання споживачем за минулий розрахунковий період.</w:t>
      </w:r>
    </w:p>
    <w:p w:rsidR="00DA35A3" w:rsidRPr="007B1B4D" w:rsidRDefault="00DA35A3" w:rsidP="00DA35A3">
      <w:pPr>
        <w:ind w:left="0" w:right="96" w:firstLine="0"/>
      </w:pPr>
      <w:r w:rsidRPr="004639C3">
        <w:t xml:space="preserve">            </w:t>
      </w:r>
      <w:proofErr w:type="spellStart"/>
      <w:r>
        <w:rPr>
          <w:b/>
        </w:rPr>
        <w:t>Т</w:t>
      </w:r>
      <w:r w:rsidRPr="009D645E">
        <w:rPr>
          <w:b/>
          <w:i/>
          <w:sz w:val="16"/>
          <w:szCs w:val="16"/>
        </w:rPr>
        <w:t>пос</w:t>
      </w:r>
      <w:proofErr w:type="spellEnd"/>
      <w:r w:rsidRPr="007B1B4D">
        <w:t xml:space="preserve"> - Вартість послуг Постачальника, що визначається шляхом множення обсягу поставленої Споживачу електричної енергії за розрахунковий період </w:t>
      </w:r>
      <w:r>
        <w:t>–</w:t>
      </w:r>
      <w:r w:rsidRPr="007B1B4D">
        <w:t xml:space="preserve"> </w:t>
      </w:r>
      <w:r>
        <w:rPr>
          <w:b/>
          <w:lang w:val="ru-RU"/>
        </w:rPr>
        <w:t xml:space="preserve">0,06 </w:t>
      </w:r>
      <w:r w:rsidRPr="007B1B4D">
        <w:t>грн./</w:t>
      </w:r>
      <w:r>
        <w:rPr>
          <w:lang w:val="ru-RU"/>
        </w:rPr>
        <w:t>к</w:t>
      </w:r>
      <w:r w:rsidRPr="007B1B4D">
        <w:t>Вт*год без урахування ПДВ;</w:t>
      </w:r>
    </w:p>
    <w:p w:rsidR="00DA35A3" w:rsidRPr="007B1B4D" w:rsidRDefault="00DA35A3" w:rsidP="00DA35A3">
      <w:pPr>
        <w:ind w:left="0" w:right="96" w:firstLine="567"/>
        <w:rPr>
          <w:szCs w:val="18"/>
        </w:rPr>
      </w:pPr>
      <w:proofErr w:type="spellStart"/>
      <w:r w:rsidRPr="007B1B4D">
        <w:rPr>
          <w:b/>
        </w:rPr>
        <w:t>Т</w:t>
      </w:r>
      <w:r w:rsidRPr="00B07069">
        <w:rPr>
          <w:b/>
          <w:i/>
          <w:sz w:val="16"/>
          <w:szCs w:val="16"/>
        </w:rPr>
        <w:t>осп</w:t>
      </w:r>
      <w:proofErr w:type="spellEnd"/>
      <w:r w:rsidRPr="007B1B4D">
        <w:rPr>
          <w:b/>
          <w:sz w:val="12"/>
          <w:szCs w:val="12"/>
        </w:rPr>
        <w:t xml:space="preserve"> – </w:t>
      </w:r>
      <w:r w:rsidRPr="007B1B4D">
        <w:rPr>
          <w:szCs w:val="18"/>
        </w:rPr>
        <w:t>Тариф на</w:t>
      </w:r>
      <w:r w:rsidRPr="007B1B4D">
        <w:rPr>
          <w:b/>
          <w:sz w:val="12"/>
          <w:szCs w:val="12"/>
        </w:rPr>
        <w:t xml:space="preserve"> </w:t>
      </w:r>
      <w:r w:rsidRPr="007B1B4D">
        <w:rPr>
          <w:szCs w:val="18"/>
        </w:rPr>
        <w:t>послуги з передачі електричної енергії встановлений постановою НКРЕКП</w:t>
      </w:r>
      <w:r w:rsidRPr="00B07069">
        <w:rPr>
          <w:szCs w:val="18"/>
        </w:rPr>
        <w:t>, що</w:t>
      </w:r>
      <w:r>
        <w:rPr>
          <w:szCs w:val="18"/>
          <w:lang w:val="ru-RU"/>
        </w:rPr>
        <w:t xml:space="preserve"> </w:t>
      </w:r>
      <w:r>
        <w:rPr>
          <w:szCs w:val="18"/>
        </w:rPr>
        <w:t>є</w:t>
      </w:r>
      <w:r w:rsidRPr="007B1B4D">
        <w:rPr>
          <w:szCs w:val="18"/>
        </w:rPr>
        <w:t xml:space="preserve"> чинно</w:t>
      </w:r>
      <w:r>
        <w:rPr>
          <w:szCs w:val="18"/>
        </w:rPr>
        <w:t>ю</w:t>
      </w:r>
      <w:r w:rsidRPr="007B1B4D">
        <w:rPr>
          <w:szCs w:val="18"/>
        </w:rPr>
        <w:t xml:space="preserve"> </w:t>
      </w:r>
      <w:r>
        <w:rPr>
          <w:szCs w:val="18"/>
        </w:rPr>
        <w:t>на період постачання</w:t>
      </w:r>
      <w:r w:rsidRPr="007B1B4D">
        <w:rPr>
          <w:szCs w:val="18"/>
        </w:rPr>
        <w:t>;</w:t>
      </w:r>
    </w:p>
    <w:p w:rsidR="00DA35A3" w:rsidRDefault="00DA35A3" w:rsidP="00DA35A3">
      <w:pPr>
        <w:ind w:left="0" w:right="96" w:firstLine="567"/>
      </w:pPr>
      <w:r w:rsidRPr="007B1B4D">
        <w:rPr>
          <w:b/>
        </w:rPr>
        <w:t>W</w:t>
      </w:r>
      <w:r w:rsidRPr="007B1B4D">
        <w:t xml:space="preserve"> - фактичний обсяг поставленої Споживачу електричної ен</w:t>
      </w:r>
      <w:r>
        <w:t>ергії за розрахунковий період, кВт</w:t>
      </w:r>
      <w:r w:rsidRPr="007B1B4D">
        <w:t>*год.</w:t>
      </w:r>
    </w:p>
    <w:p w:rsidR="00DA35A3" w:rsidRPr="007B1B4D" w:rsidRDefault="00DA35A3" w:rsidP="00DA35A3">
      <w:pPr>
        <w:ind w:left="0" w:right="96" w:firstLine="567"/>
      </w:pPr>
    </w:p>
    <w:p w:rsidR="00DA35A3" w:rsidRPr="007B1B4D" w:rsidRDefault="00DA35A3" w:rsidP="00DA35A3">
      <w:pPr>
        <w:spacing w:after="86" w:line="259" w:lineRule="auto"/>
        <w:ind w:left="0" w:firstLine="567"/>
      </w:pPr>
      <w:r w:rsidRPr="007B1B4D">
        <w:rPr>
          <w:b/>
          <w:i/>
          <w:u w:val="single" w:color="000000"/>
        </w:rPr>
        <w:t>Примітка:</w:t>
      </w:r>
      <w:r w:rsidRPr="007B1B4D">
        <w:rPr>
          <w:b/>
          <w:i/>
        </w:rPr>
        <w:t xml:space="preserve"> </w:t>
      </w:r>
    </w:p>
    <w:p w:rsidR="00DA35A3" w:rsidRPr="007B1B4D" w:rsidRDefault="00DA35A3" w:rsidP="00DA35A3">
      <w:pPr>
        <w:spacing w:after="9" w:line="265" w:lineRule="auto"/>
        <w:ind w:left="0" w:right="75" w:firstLine="567"/>
        <w:rPr>
          <w:i/>
        </w:rPr>
      </w:pPr>
      <w:r w:rsidRPr="007B1B4D">
        <w:rPr>
          <w:i/>
        </w:rPr>
        <w:t xml:space="preserve">Ціна закупівлі електричної енергії на Оптовому ринку включає всі обов’язкові податки (крім ПДВ, що обліковується окремо), збори та платежі, що передбачені правилами ринків електроенергії, законодавством та іншими нормативними документами (внески на регулювання; вартість послуг Оператора Ринку, що надаються на РДН/ВДР тощо). </w:t>
      </w:r>
    </w:p>
    <w:p w:rsidR="00DA35A3" w:rsidRDefault="00DA35A3" w:rsidP="00DA35A3">
      <w:pPr>
        <w:spacing w:after="9" w:line="265" w:lineRule="auto"/>
        <w:ind w:left="0" w:right="75" w:firstLine="567"/>
        <w:rPr>
          <w:i/>
          <w:szCs w:val="18"/>
        </w:rPr>
      </w:pPr>
      <w:r w:rsidRPr="007B1B4D">
        <w:rPr>
          <w:i/>
        </w:rPr>
        <w:t xml:space="preserve">Всі складові ціни, крім </w:t>
      </w:r>
      <w:proofErr w:type="spellStart"/>
      <w:r>
        <w:rPr>
          <w:b/>
          <w:i/>
        </w:rPr>
        <w:t>Т</w:t>
      </w:r>
      <w:r w:rsidRPr="009D645E">
        <w:rPr>
          <w:b/>
          <w:i/>
          <w:sz w:val="12"/>
          <w:szCs w:val="12"/>
        </w:rPr>
        <w:t>пос</w:t>
      </w:r>
      <w:proofErr w:type="spellEnd"/>
      <w:r w:rsidRPr="007B1B4D">
        <w:rPr>
          <w:b/>
          <w:i/>
          <w:sz w:val="12"/>
          <w:szCs w:val="12"/>
        </w:rPr>
        <w:t xml:space="preserve"> </w:t>
      </w:r>
      <w:r w:rsidRPr="007B1B4D">
        <w:rPr>
          <w:i/>
          <w:szCs w:val="18"/>
        </w:rPr>
        <w:t>є такими, що не залежать від Постачальника, та можуть бути змінені в рамках даної комерційної пропозиції з терміновим повідомленням Споживача про зміни, у разі зміни складових ціни які не залежать від Постачальника та врегульовані Національним регулятором, в наступному періоді постачання вмотивовано перераховуються.</w:t>
      </w:r>
    </w:p>
    <w:p w:rsidR="00DA35A3" w:rsidRPr="007B1B4D" w:rsidRDefault="00DA35A3" w:rsidP="00DA35A3">
      <w:pPr>
        <w:spacing w:after="9" w:line="265" w:lineRule="auto"/>
        <w:ind w:left="0" w:right="75" w:firstLine="567"/>
        <w:rPr>
          <w:i/>
          <w:szCs w:val="18"/>
        </w:rPr>
      </w:pPr>
    </w:p>
    <w:p w:rsidR="00DA35A3" w:rsidRPr="007B1B4D" w:rsidRDefault="00DA35A3" w:rsidP="00DA35A3">
      <w:pPr>
        <w:numPr>
          <w:ilvl w:val="0"/>
          <w:numId w:val="1"/>
        </w:numPr>
        <w:spacing w:after="4" w:line="271" w:lineRule="auto"/>
        <w:ind w:left="0" w:firstLine="567"/>
      </w:pPr>
      <w:r w:rsidRPr="006444C6">
        <w:rPr>
          <w:b/>
        </w:rPr>
        <w:t>Спосіб оплати:</w:t>
      </w:r>
    </w:p>
    <w:p w:rsidR="00DA35A3" w:rsidRPr="007B1B4D" w:rsidRDefault="00DA35A3" w:rsidP="00DA35A3">
      <w:pPr>
        <w:ind w:left="0" w:right="38" w:firstLine="567"/>
        <w:rPr>
          <w:b/>
        </w:rPr>
      </w:pPr>
      <w:r>
        <w:rPr>
          <w:b/>
        </w:rPr>
        <w:t>Графік обов’язкового платежу</w:t>
      </w:r>
    </w:p>
    <w:p w:rsidR="00DA35A3" w:rsidRPr="007B1B4D" w:rsidRDefault="00DA35A3" w:rsidP="00DA35A3">
      <w:pPr>
        <w:ind w:left="0" w:right="38" w:firstLine="567"/>
      </w:pPr>
      <w:r w:rsidRPr="007B1B4D">
        <w:t xml:space="preserve">Даний тип графіку може бути розроблено та погоджено Сторонами, в індивідуальному порядку, відповідно до виробничих потреб Споживача та наявної можливості Постачальника здійснювати в певних умовах діяльність з постачання електричної енергії. </w:t>
      </w:r>
    </w:p>
    <w:p w:rsidR="00DA35A3" w:rsidRPr="007B1B4D" w:rsidRDefault="00DA35A3" w:rsidP="00DA35A3">
      <w:pPr>
        <w:ind w:left="0" w:right="38" w:firstLine="567"/>
      </w:pPr>
      <w:r>
        <w:rPr>
          <w:b/>
          <w:i/>
        </w:rPr>
        <w:t>2.2.</w:t>
      </w:r>
      <w:r w:rsidRPr="007B1B4D">
        <w:t xml:space="preserve"> </w:t>
      </w:r>
      <w:r w:rsidRPr="007B1B4D">
        <w:tab/>
        <w:t xml:space="preserve">Розмір попередньої оплати визначається з урахуванням п.1 комерційної пропозиції, шляхом множення заявленого Споживачем на відповідний розрахунковий період обсягу споживання електричної енергії на прогнозовану ціну, що розраховується виходячи з прогнозованої ціни. Розмір попередньої оплати зазначається Постачальником у рахунку на попередню оплату. </w:t>
      </w:r>
    </w:p>
    <w:p w:rsidR="00DA35A3" w:rsidRPr="007B1B4D" w:rsidRDefault="00DA35A3" w:rsidP="00DA35A3">
      <w:pPr>
        <w:ind w:left="0" w:firstLine="567"/>
      </w:pPr>
      <w:r w:rsidRPr="007B1B4D">
        <w:t xml:space="preserve">У випадку припинення (або розірвання) договору, у </w:t>
      </w:r>
      <w:proofErr w:type="spellStart"/>
      <w:r w:rsidRPr="007B1B4D">
        <w:t>т.ч</w:t>
      </w:r>
      <w:proofErr w:type="spellEnd"/>
      <w:r w:rsidRPr="007B1B4D">
        <w:t>. дострокового, споживач зобов’язаний оплатити Постачальнику  додатковий рахунок за результатами минулих розрахункових періодів, в якому Постачальником буде враховано відхилення прогнозованих від фактичних значень, щодо ціни та обсягів споживання.</w:t>
      </w:r>
    </w:p>
    <w:p w:rsidR="00DA35A3" w:rsidRPr="007B1B4D" w:rsidRDefault="00DA35A3" w:rsidP="00DA35A3">
      <w:pPr>
        <w:ind w:left="0" w:firstLine="567"/>
      </w:pPr>
      <w:r w:rsidRPr="007B1B4D">
        <w:t>Сума передоплати розраховується по формулі:</w:t>
      </w:r>
    </w:p>
    <w:p w:rsidR="00DA35A3" w:rsidRPr="007B1B4D" w:rsidRDefault="00DA35A3" w:rsidP="00DA35A3">
      <w:pPr>
        <w:ind w:left="3540" w:firstLine="0"/>
      </w:pPr>
      <w:r w:rsidRPr="007B1B4D">
        <w:rPr>
          <w:b/>
          <w:i/>
        </w:rPr>
        <w:t xml:space="preserve">       (формула № 2)</w:t>
      </w:r>
    </w:p>
    <w:p w:rsidR="00DA35A3" w:rsidRPr="007B1B4D" w:rsidRDefault="00DA35A3" w:rsidP="00DA35A3">
      <w:pPr>
        <w:ind w:left="2124" w:firstLine="708"/>
        <w:rPr>
          <w:b/>
          <w:szCs w:val="18"/>
        </w:rPr>
      </w:pPr>
      <w:r w:rsidRPr="007B1B4D">
        <w:rPr>
          <w:b/>
        </w:rPr>
        <w:t xml:space="preserve">   </w:t>
      </w:r>
      <w:r>
        <w:rPr>
          <w:b/>
        </w:rPr>
        <w:t>П</w:t>
      </w:r>
      <w:r>
        <w:rPr>
          <w:b/>
          <w:lang w:val="ru-RU"/>
        </w:rPr>
        <w:t xml:space="preserve"> </w:t>
      </w:r>
      <w:r>
        <w:rPr>
          <w:b/>
        </w:rPr>
        <w:t>= (</w:t>
      </w:r>
      <w:proofErr w:type="spellStart"/>
      <w:r>
        <w:rPr>
          <w:b/>
        </w:rPr>
        <w:t>Ц</w:t>
      </w:r>
      <w:r w:rsidRPr="007B1B4D">
        <w:rPr>
          <w:b/>
          <w:sz w:val="12"/>
        </w:rPr>
        <w:t>п</w:t>
      </w:r>
      <w:proofErr w:type="spellEnd"/>
      <w:r w:rsidRPr="007B1B4D">
        <w:rPr>
          <w:b/>
          <w:szCs w:val="18"/>
        </w:rPr>
        <w:t xml:space="preserve">+ </w:t>
      </w:r>
      <w:proofErr w:type="spellStart"/>
      <w:r>
        <w:rPr>
          <w:b/>
          <w:szCs w:val="18"/>
        </w:rPr>
        <w:t>Тп</w:t>
      </w:r>
      <w:r>
        <w:rPr>
          <w:b/>
          <w:sz w:val="12"/>
          <w:szCs w:val="12"/>
        </w:rPr>
        <w:t>ос</w:t>
      </w:r>
      <w:proofErr w:type="spellEnd"/>
      <w:r>
        <w:rPr>
          <w:b/>
          <w:sz w:val="12"/>
          <w:szCs w:val="12"/>
        </w:rPr>
        <w:t>+</w:t>
      </w:r>
      <w:r w:rsidRPr="006E52FD">
        <w:rPr>
          <w:b/>
          <w:szCs w:val="18"/>
        </w:rPr>
        <w:t xml:space="preserve"> </w:t>
      </w:r>
      <w:proofErr w:type="spellStart"/>
      <w:r>
        <w:rPr>
          <w:b/>
          <w:szCs w:val="18"/>
        </w:rPr>
        <w:t>Тосп</w:t>
      </w:r>
      <w:proofErr w:type="spellEnd"/>
      <w:r>
        <w:rPr>
          <w:b/>
          <w:sz w:val="12"/>
          <w:szCs w:val="12"/>
        </w:rPr>
        <w:t>)</w:t>
      </w:r>
      <w:r>
        <w:rPr>
          <w:b/>
          <w:szCs w:val="18"/>
        </w:rPr>
        <w:t xml:space="preserve"> </w:t>
      </w:r>
      <w:r w:rsidRPr="007B1B4D">
        <w:rPr>
          <w:b/>
          <w:szCs w:val="18"/>
        </w:rPr>
        <w:t xml:space="preserve"> </w:t>
      </w:r>
      <w:r>
        <w:rPr>
          <w:b/>
          <w:szCs w:val="18"/>
        </w:rPr>
        <w:t>*</w:t>
      </w:r>
      <w:proofErr w:type="spellStart"/>
      <w:r w:rsidRPr="007B1B4D">
        <w:rPr>
          <w:b/>
          <w:szCs w:val="18"/>
        </w:rPr>
        <w:t>Wп</w:t>
      </w:r>
      <w:proofErr w:type="spellEnd"/>
      <w:r w:rsidRPr="007B1B4D">
        <w:t>, (</w:t>
      </w:r>
      <w:r w:rsidRPr="007B1B4D">
        <w:rPr>
          <w:i/>
        </w:rPr>
        <w:t>грн./кВт</w:t>
      </w:r>
      <w:r w:rsidRPr="007B1B4D">
        <w:t>*</w:t>
      </w:r>
      <w:r w:rsidRPr="007B1B4D">
        <w:rPr>
          <w:i/>
        </w:rPr>
        <w:t xml:space="preserve">год)  </w:t>
      </w:r>
    </w:p>
    <w:p w:rsidR="00DA35A3" w:rsidRPr="007B1B4D" w:rsidRDefault="00DA35A3" w:rsidP="00DA35A3">
      <w:pPr>
        <w:ind w:left="0" w:firstLine="567"/>
      </w:pPr>
      <w:r w:rsidRPr="007B1B4D">
        <w:rPr>
          <w:b/>
          <w:u w:val="single" w:color="000000"/>
        </w:rPr>
        <w:lastRenderedPageBreak/>
        <w:t>де,</w:t>
      </w:r>
      <w:r w:rsidRPr="007B1B4D">
        <w:t xml:space="preserve"> </w:t>
      </w:r>
      <w:proofErr w:type="spellStart"/>
      <w:r w:rsidRPr="007B1B4D">
        <w:rPr>
          <w:b/>
        </w:rPr>
        <w:t>Ц</w:t>
      </w:r>
      <w:r w:rsidRPr="007B1B4D">
        <w:rPr>
          <w:b/>
          <w:sz w:val="12"/>
        </w:rPr>
        <w:t>п</w:t>
      </w:r>
      <w:proofErr w:type="spellEnd"/>
      <w:r w:rsidRPr="007B1B4D">
        <w:t xml:space="preserve"> – Прогнозована ціна електричної енергії згідно прогнозованого графіку погодинного споживання (який Споживач зобов’язаний надати Постачальнику для розрахунків не пізніше ніж за 5 днів до дня постачання) та прогнозованими цінами РДН</w:t>
      </w:r>
      <w:r>
        <w:t>/ВДР</w:t>
      </w:r>
      <w:r w:rsidRPr="007B1B4D">
        <w:t xml:space="preserve"> які надаються кожного місяця споживачу у виді письмового повідомлення. </w:t>
      </w:r>
    </w:p>
    <w:p w:rsidR="00DA35A3" w:rsidRPr="007B1B4D" w:rsidRDefault="00DA35A3" w:rsidP="00DA35A3">
      <w:pPr>
        <w:ind w:left="0" w:firstLine="567"/>
      </w:pPr>
      <w:r w:rsidRPr="007B1B4D">
        <w:t xml:space="preserve">Якщо прогнозований погодинний графік Споживача відхиляється від наданого у розрахунковому періоді, Споживач має право на коригування цього погодинного графіку. </w:t>
      </w:r>
    </w:p>
    <w:p w:rsidR="00DA35A3" w:rsidRPr="007B1B4D" w:rsidRDefault="00DA35A3" w:rsidP="00DA35A3">
      <w:pPr>
        <w:ind w:left="0" w:firstLine="567"/>
      </w:pPr>
      <w:r w:rsidRPr="007B1B4D">
        <w:t>У разі якщо Споживач, відхиляється від погодинного графіку, та своєчасно не корегує його, Постачальник закупає або повертає різницю від прогнозованого графіку на балансуючому ринку;</w:t>
      </w:r>
    </w:p>
    <w:p w:rsidR="00DA35A3" w:rsidRPr="007B1B4D" w:rsidRDefault="00DA35A3" w:rsidP="00DA35A3">
      <w:pPr>
        <w:ind w:left="0" w:right="96" w:firstLine="567"/>
      </w:pPr>
      <w:proofErr w:type="spellStart"/>
      <w:r>
        <w:rPr>
          <w:b/>
        </w:rPr>
        <w:t>Т</w:t>
      </w:r>
      <w:r w:rsidRPr="009D645E">
        <w:rPr>
          <w:b/>
          <w:sz w:val="12"/>
          <w:szCs w:val="12"/>
        </w:rPr>
        <w:t>пос</w:t>
      </w:r>
      <w:proofErr w:type="spellEnd"/>
      <w:r w:rsidRPr="007B1B4D">
        <w:t xml:space="preserve"> – Тариф на послуги Постачальника, який складає </w:t>
      </w:r>
      <w:r>
        <w:rPr>
          <w:b/>
          <w:lang w:val="ru-RU"/>
        </w:rPr>
        <w:t>0,06</w:t>
      </w:r>
      <w:r w:rsidRPr="007B1B4D">
        <w:t xml:space="preserve"> грн./</w:t>
      </w:r>
      <w:r>
        <w:rPr>
          <w:lang w:val="ru-RU"/>
        </w:rPr>
        <w:t>к</w:t>
      </w:r>
      <w:r w:rsidRPr="007B1B4D">
        <w:t>Вт*год;</w:t>
      </w:r>
    </w:p>
    <w:p w:rsidR="00DA35A3" w:rsidRPr="007B1B4D" w:rsidRDefault="00DA35A3" w:rsidP="00DA35A3">
      <w:pPr>
        <w:ind w:left="0" w:right="96" w:firstLine="567"/>
      </w:pPr>
      <w:r w:rsidRPr="007B1B4D">
        <w:rPr>
          <w:b/>
        </w:rPr>
        <w:t>W</w:t>
      </w:r>
      <w:r w:rsidRPr="007B1B4D">
        <w:rPr>
          <w:b/>
          <w:sz w:val="12"/>
          <w:szCs w:val="12"/>
        </w:rPr>
        <w:t>П</w:t>
      </w:r>
      <w:r w:rsidRPr="007B1B4D">
        <w:t xml:space="preserve"> – Прогнозований обсяг Споживача електричної ене</w:t>
      </w:r>
      <w:r>
        <w:t>ргії на розрахунковий період, к</w:t>
      </w:r>
      <w:r w:rsidRPr="007B1B4D">
        <w:t>Вт*год.</w:t>
      </w:r>
    </w:p>
    <w:p w:rsidR="00DA35A3" w:rsidRPr="007B1B4D" w:rsidRDefault="00DA35A3" w:rsidP="00DA35A3">
      <w:pPr>
        <w:ind w:left="0" w:firstLine="567"/>
        <w:rPr>
          <w:szCs w:val="18"/>
        </w:rPr>
      </w:pPr>
      <w:proofErr w:type="spellStart"/>
      <w:r w:rsidRPr="007B1B4D">
        <w:rPr>
          <w:b/>
          <w:szCs w:val="18"/>
        </w:rPr>
        <w:t>Т</w:t>
      </w:r>
      <w:r w:rsidRPr="007B1B4D">
        <w:rPr>
          <w:b/>
          <w:sz w:val="12"/>
          <w:szCs w:val="12"/>
        </w:rPr>
        <w:t>осп</w:t>
      </w:r>
      <w:proofErr w:type="spellEnd"/>
      <w:r w:rsidRPr="007B1B4D">
        <w:rPr>
          <w:b/>
          <w:sz w:val="12"/>
          <w:szCs w:val="12"/>
        </w:rPr>
        <w:t xml:space="preserve"> </w:t>
      </w:r>
      <w:r w:rsidRPr="007B1B4D">
        <w:rPr>
          <w:b/>
          <w:szCs w:val="18"/>
        </w:rPr>
        <w:t xml:space="preserve">– </w:t>
      </w:r>
      <w:r w:rsidRPr="007B1B4D">
        <w:rPr>
          <w:szCs w:val="18"/>
        </w:rPr>
        <w:t>Тариф послуг ОСП з розподілу</w:t>
      </w:r>
      <w:r>
        <w:rPr>
          <w:szCs w:val="18"/>
        </w:rPr>
        <w:t xml:space="preserve"> НЕК «Укренерго»</w:t>
      </w:r>
      <w:r w:rsidRPr="007B1B4D">
        <w:rPr>
          <w:b/>
          <w:szCs w:val="18"/>
        </w:rPr>
        <w:t xml:space="preserve"> </w:t>
      </w:r>
      <w:r w:rsidRPr="007B1B4D">
        <w:rPr>
          <w:szCs w:val="18"/>
        </w:rPr>
        <w:t>помножений на прогнозований обсяг споживання електричної енергії.</w:t>
      </w:r>
    </w:p>
    <w:p w:rsidR="00DA35A3" w:rsidRPr="007B1B4D" w:rsidRDefault="00DA35A3" w:rsidP="00DA35A3">
      <w:pPr>
        <w:spacing w:after="4" w:line="271" w:lineRule="auto"/>
        <w:ind w:left="0" w:right="38" w:firstLine="567"/>
      </w:pPr>
      <w:r>
        <w:rPr>
          <w:b/>
          <w:i/>
        </w:rPr>
        <w:t>2.3</w:t>
      </w:r>
      <w:r w:rsidRPr="007B1B4D">
        <w:rPr>
          <w:b/>
          <w:i/>
        </w:rPr>
        <w:t>.</w:t>
      </w:r>
      <w:r w:rsidRPr="007B1B4D">
        <w:rPr>
          <w:b/>
        </w:rPr>
        <w:tab/>
      </w:r>
      <w:r w:rsidRPr="007B1B4D">
        <w:t>Після закінчення розрахункового періоду остаточний розрахунок (перерахунок) здійснюється на підставі (формула № 1) за фактичним обсягом споживання електричної енергії з використанням у формулі фактичної ціни електричної енергії, що закуплена Постачальником для Споживача на ринку електричної енергії за результатами розрахункового періоду протягом трьох банківських днів.</w:t>
      </w:r>
    </w:p>
    <w:p w:rsidR="00DA35A3" w:rsidRPr="007B1B4D" w:rsidRDefault="00DA35A3" w:rsidP="00DA35A3">
      <w:pPr>
        <w:spacing w:after="4" w:line="271" w:lineRule="auto"/>
        <w:ind w:left="0" w:right="38" w:firstLine="567"/>
      </w:pPr>
      <w:r w:rsidRPr="007B1B4D">
        <w:tab/>
      </w:r>
      <w:r w:rsidRPr="007B1B4D">
        <w:tab/>
      </w:r>
      <w:r w:rsidRPr="007B1B4D">
        <w:tab/>
      </w:r>
      <w:r w:rsidRPr="007B1B4D">
        <w:tab/>
      </w:r>
      <w:r w:rsidRPr="007B1B4D">
        <w:tab/>
        <w:t xml:space="preserve">        </w:t>
      </w:r>
      <w:r w:rsidRPr="007B1B4D">
        <w:rPr>
          <w:b/>
          <w:i/>
        </w:rPr>
        <w:t xml:space="preserve"> (формула № 3)</w:t>
      </w:r>
    </w:p>
    <w:p w:rsidR="00DA35A3" w:rsidRPr="007B1B4D" w:rsidRDefault="00DA35A3" w:rsidP="00DA35A3">
      <w:pPr>
        <w:ind w:left="2832" w:firstLine="0"/>
        <w:rPr>
          <w:b/>
          <w:i/>
        </w:rPr>
      </w:pPr>
      <w:r w:rsidRPr="007B1B4D">
        <w:rPr>
          <w:b/>
        </w:rPr>
        <w:t xml:space="preserve">               Ф=Ц*</w:t>
      </w:r>
      <w:r w:rsidRPr="007B1B4D">
        <w:rPr>
          <w:b/>
          <w:szCs w:val="18"/>
        </w:rPr>
        <w:t xml:space="preserve">W </w:t>
      </w:r>
      <w:r w:rsidRPr="007B1B4D">
        <w:t>, (</w:t>
      </w:r>
      <w:r>
        <w:rPr>
          <w:i/>
        </w:rPr>
        <w:t>грн./к</w:t>
      </w:r>
      <w:r w:rsidRPr="007B1B4D">
        <w:rPr>
          <w:i/>
        </w:rPr>
        <w:t>Вт</w:t>
      </w:r>
      <w:r w:rsidRPr="007B1B4D">
        <w:t>*</w:t>
      </w:r>
      <w:r w:rsidRPr="007B1B4D">
        <w:rPr>
          <w:i/>
        </w:rPr>
        <w:t xml:space="preserve">год)  </w:t>
      </w:r>
    </w:p>
    <w:p w:rsidR="00DA35A3" w:rsidRPr="007B1B4D" w:rsidRDefault="00DA35A3" w:rsidP="00DA35A3">
      <w:pPr>
        <w:ind w:left="0" w:firstLine="567"/>
      </w:pPr>
      <w:r w:rsidRPr="007B1B4D">
        <w:rPr>
          <w:b/>
          <w:u w:val="single" w:color="000000"/>
        </w:rPr>
        <w:t>де,</w:t>
      </w:r>
      <w:r w:rsidRPr="007B1B4D">
        <w:t xml:space="preserve"> </w:t>
      </w:r>
      <w:r w:rsidRPr="007B1B4D">
        <w:rPr>
          <w:b/>
        </w:rPr>
        <w:t>Ф</w:t>
      </w:r>
      <w:r w:rsidRPr="007B1B4D">
        <w:t xml:space="preserve"> – фактична сума грн. за електричну енергію</w:t>
      </w:r>
      <w:r w:rsidRPr="007B1B4D">
        <w:rPr>
          <w:b/>
          <w:sz w:val="22"/>
        </w:rPr>
        <w:t xml:space="preserve"> </w:t>
      </w:r>
      <w:r w:rsidRPr="007B1B4D">
        <w:t>що спожита Споживачем за результатами розрахункового періоду;</w:t>
      </w:r>
    </w:p>
    <w:p w:rsidR="00DA35A3" w:rsidRPr="007B1B4D" w:rsidRDefault="00DA35A3" w:rsidP="00DA35A3">
      <w:pPr>
        <w:ind w:left="0" w:right="96" w:firstLine="567"/>
      </w:pPr>
      <w:r w:rsidRPr="007B1B4D">
        <w:rPr>
          <w:b/>
        </w:rPr>
        <w:t xml:space="preserve">Ц </w:t>
      </w:r>
      <w:r w:rsidRPr="007B1B4D">
        <w:t>– Фактична ціна за електричну енергію</w:t>
      </w:r>
      <w:r w:rsidRPr="007B1B4D">
        <w:rPr>
          <w:b/>
          <w:sz w:val="22"/>
        </w:rPr>
        <w:t xml:space="preserve"> </w:t>
      </w:r>
      <w:r w:rsidRPr="007B1B4D">
        <w:t xml:space="preserve">що закуплена Постачальником для Споживача визначена </w:t>
      </w:r>
      <w:r w:rsidRPr="007B1B4D">
        <w:rPr>
          <w:b/>
          <w:i/>
        </w:rPr>
        <w:t>формулою 1</w:t>
      </w:r>
      <w:r w:rsidRPr="007B1B4D">
        <w:t>.</w:t>
      </w:r>
    </w:p>
    <w:p w:rsidR="00DA35A3" w:rsidRPr="007B1B4D" w:rsidRDefault="00DA35A3" w:rsidP="00DA35A3">
      <w:pPr>
        <w:ind w:left="0" w:right="96" w:firstLine="567"/>
      </w:pPr>
      <w:r w:rsidRPr="007B1B4D">
        <w:rPr>
          <w:b/>
        </w:rPr>
        <w:t>W</w:t>
      </w:r>
      <w:r w:rsidRPr="007B1B4D">
        <w:t xml:space="preserve"> </w:t>
      </w:r>
      <w:r w:rsidRPr="007B1B4D">
        <w:rPr>
          <w:b/>
        </w:rPr>
        <w:t>-</w:t>
      </w:r>
      <w:r w:rsidRPr="007B1B4D">
        <w:t xml:space="preserve"> фактичний обсяг поставленої Споживачу електричної ен</w:t>
      </w:r>
      <w:r>
        <w:t>ергії за розрахунковий період, к</w:t>
      </w:r>
      <w:r w:rsidRPr="007B1B4D">
        <w:t>Вт*год.</w:t>
      </w:r>
    </w:p>
    <w:p w:rsidR="00DA35A3" w:rsidRPr="007B1B4D" w:rsidRDefault="00DA35A3" w:rsidP="00DA35A3">
      <w:pPr>
        <w:pStyle w:val="a4"/>
        <w:numPr>
          <w:ilvl w:val="1"/>
          <w:numId w:val="5"/>
        </w:numPr>
        <w:ind w:left="0" w:right="38" w:firstLine="567"/>
      </w:pPr>
      <w:r w:rsidRPr="007B1B4D">
        <w:t>Розрахунковим  вважається період з 1 числа розрахункового  періоду  до  такого ж числа наступного місяця.   Розрахунковий період прирівнюється до календарного місяця.</w:t>
      </w:r>
    </w:p>
    <w:p w:rsidR="00DA35A3" w:rsidRPr="007B1B4D" w:rsidRDefault="00DA35A3" w:rsidP="00DA35A3">
      <w:pPr>
        <w:ind w:left="0" w:firstLine="567"/>
      </w:pPr>
      <w:r w:rsidRPr="007B1B4D">
        <w:t>Оплата за резервування обсягу електричної енергії на покриття аварійної броні та екологічної броні не включається до попередньої оплати і оплачується споживачем окремо до початку розрахункового періоду авансовим платежем, сума якого визначається Споживачем самостійно.</w:t>
      </w:r>
    </w:p>
    <w:p w:rsidR="00DA35A3" w:rsidRPr="007B1B4D" w:rsidRDefault="00DA35A3" w:rsidP="00DA35A3">
      <w:pPr>
        <w:numPr>
          <w:ilvl w:val="0"/>
          <w:numId w:val="5"/>
        </w:numPr>
        <w:ind w:left="0" w:firstLine="567"/>
      </w:pPr>
      <w:r w:rsidRPr="007B1B4D">
        <w:rPr>
          <w:b/>
        </w:rPr>
        <w:t xml:space="preserve">     Визначення обсягів спожитої електроенергії:</w:t>
      </w:r>
      <w:r w:rsidRPr="007B1B4D">
        <w:t xml:space="preserve"> Обсяги спожитої та розподіленої електричної енергії визначаються Оператором.</w:t>
      </w:r>
    </w:p>
    <w:p w:rsidR="00DA35A3" w:rsidRPr="007B1B4D" w:rsidRDefault="00DA35A3" w:rsidP="00DA35A3">
      <w:pPr>
        <w:numPr>
          <w:ilvl w:val="0"/>
          <w:numId w:val="5"/>
        </w:numPr>
        <w:ind w:left="0" w:firstLine="567"/>
      </w:pPr>
      <w:r w:rsidRPr="007B1B4D">
        <w:rPr>
          <w:b/>
        </w:rPr>
        <w:t xml:space="preserve">     Термін остаточного розрахунку: </w:t>
      </w:r>
      <w:r w:rsidRPr="007B1B4D">
        <w:t>По закінченню розрахункового місяця Постачальник надає Споживачу розрахунок фактичних обсягів споживання електричної енергії у попередньому місяці, та надає суму фактичної вартості спожитої електричної енергії.</w:t>
      </w:r>
    </w:p>
    <w:p w:rsidR="00DA35A3" w:rsidRPr="007B1B4D" w:rsidRDefault="00DA35A3" w:rsidP="00DA35A3">
      <w:pPr>
        <w:ind w:left="0" w:firstLine="567"/>
      </w:pPr>
      <w:r w:rsidRPr="007B1B4D">
        <w:t>Якщо фактичне споживання електричної енергії  виявиться більшим ніж очікуване, різниця між сумою планових платежів та вартістю фактично спожитої електроенергії має бути сплачена протягом 5 робочих днів з дня формування/отримання рахунків за фактично використану у розрахунковому періоді електричну енергію.</w:t>
      </w:r>
    </w:p>
    <w:p w:rsidR="00DA35A3" w:rsidRPr="007B1B4D" w:rsidRDefault="00DA35A3" w:rsidP="00DA35A3">
      <w:pPr>
        <w:ind w:left="0" w:firstLine="567"/>
      </w:pPr>
      <w:r w:rsidRPr="007B1B4D">
        <w:t>Якщо фактичне споживання електричної енергії  виявиться меншим ніж очікуване, надлишкові кошти зараховуються як оплата наступних періодів.</w:t>
      </w:r>
    </w:p>
    <w:p w:rsidR="00DA35A3" w:rsidRPr="007B1B4D" w:rsidRDefault="00DA35A3" w:rsidP="00DA35A3">
      <w:pPr>
        <w:ind w:left="0" w:firstLine="567"/>
      </w:pPr>
      <w:r w:rsidRPr="007B1B4D">
        <w:rPr>
          <w:b/>
        </w:rPr>
        <w:t>5.</w:t>
      </w:r>
      <w:r w:rsidRPr="007B1B4D">
        <w:t xml:space="preserve">     </w:t>
      </w:r>
      <w:r w:rsidRPr="007B1B4D">
        <w:rPr>
          <w:b/>
        </w:rPr>
        <w:t xml:space="preserve">Оплата послуг з розподілу (передачі) електричної енергії мережами Оператора системи: </w:t>
      </w:r>
      <w:r w:rsidRPr="007B1B4D">
        <w:t>Споживач здійснює плату за послугу з розподілу (передачі) електричної енергії безпосередньо Оператору.</w:t>
      </w:r>
    </w:p>
    <w:p w:rsidR="00DA35A3" w:rsidRPr="007B1B4D" w:rsidRDefault="00DA35A3" w:rsidP="00DA35A3">
      <w:pPr>
        <w:numPr>
          <w:ilvl w:val="0"/>
          <w:numId w:val="3"/>
        </w:numPr>
        <w:ind w:left="0" w:right="43" w:firstLine="567"/>
      </w:pPr>
      <w:r w:rsidRPr="007B1B4D">
        <w:rPr>
          <w:b/>
        </w:rPr>
        <w:t xml:space="preserve">       Розмір пені за порушення строку оплати та/або штраф</w:t>
      </w:r>
      <w:r w:rsidRPr="007B1B4D">
        <w:t>: У разі відхилення Споживача від обраного графіку обов’язкового платежу (пункт 2) та виставленого рахунку на оплату, Постачальник електричної енергії проводить Споживачу нарахування за весь час прострочення:</w:t>
      </w:r>
    </w:p>
    <w:p w:rsidR="00DA35A3" w:rsidRPr="007B1B4D" w:rsidRDefault="00DA35A3" w:rsidP="00DA35A3">
      <w:pPr>
        <w:ind w:left="0" w:firstLine="567"/>
      </w:pPr>
      <w:r w:rsidRPr="007B1B4D">
        <w:t xml:space="preserve">-  пені у розмірі </w:t>
      </w:r>
      <w:r>
        <w:rPr>
          <w:b/>
        </w:rPr>
        <w:t>0,0</w:t>
      </w:r>
      <w:r w:rsidRPr="007B1B4D">
        <w:rPr>
          <w:b/>
        </w:rPr>
        <w:t>1%</w:t>
      </w:r>
      <w:r w:rsidRPr="007B1B4D">
        <w:t xml:space="preserve"> за кожен день прострочення від простроченої суми.</w:t>
      </w:r>
    </w:p>
    <w:p w:rsidR="00DA35A3" w:rsidRPr="007B1B4D" w:rsidRDefault="00DA35A3" w:rsidP="00DA35A3">
      <w:pPr>
        <w:ind w:left="0" w:firstLine="567"/>
      </w:pPr>
      <w:r w:rsidRPr="007B1B4D">
        <w:t>При цьому сума боргу повинна бути сплачена Споживачем з урахуванням встановленого індексу інфляції.</w:t>
      </w:r>
    </w:p>
    <w:p w:rsidR="00DA35A3" w:rsidRPr="007B1B4D" w:rsidRDefault="00DA35A3" w:rsidP="00DA35A3">
      <w:pPr>
        <w:numPr>
          <w:ilvl w:val="0"/>
          <w:numId w:val="3"/>
        </w:numPr>
        <w:ind w:left="0" w:right="43" w:firstLine="567"/>
      </w:pPr>
      <w:r w:rsidRPr="007B1B4D">
        <w:rPr>
          <w:b/>
        </w:rPr>
        <w:t xml:space="preserve">        Надання обсягів споживання електроенергії: </w:t>
      </w:r>
      <w:r w:rsidRPr="007B1B4D">
        <w:t xml:space="preserve">Споживач, не пізніше ніж за 5 днів до дня постачання, що передує розрахунковому зобов’язаний подати План-графік обсягів постачання електричної енергії по-об’єктах Споживача на яких впроваджено АСКОЕ/ЛУЗОД. Загальні обсяги постачання електричної енергії повинні відповідати Додатку № 3 до Договору про постачання електричної енергії.    </w:t>
      </w:r>
      <w:r w:rsidRPr="007B1B4D">
        <w:rPr>
          <w:b/>
        </w:rPr>
        <w:t xml:space="preserve">  </w:t>
      </w:r>
    </w:p>
    <w:p w:rsidR="00DA35A3" w:rsidRPr="007B1B4D" w:rsidRDefault="00DA35A3" w:rsidP="00DA35A3">
      <w:pPr>
        <w:numPr>
          <w:ilvl w:val="0"/>
          <w:numId w:val="3"/>
        </w:numPr>
        <w:spacing w:after="4" w:line="271" w:lineRule="auto"/>
        <w:ind w:left="0" w:right="43" w:firstLine="567"/>
      </w:pPr>
      <w:r w:rsidRPr="007B1B4D">
        <w:rPr>
          <w:b/>
        </w:rPr>
        <w:t xml:space="preserve">         Термін дії дійсної публічної комерці</w:t>
      </w:r>
      <w:r>
        <w:rPr>
          <w:b/>
        </w:rPr>
        <w:t>йної пропозиції: початок - 01.</w:t>
      </w:r>
      <w:r w:rsidRPr="00F955E1">
        <w:rPr>
          <w:b/>
        </w:rPr>
        <w:t>0</w:t>
      </w:r>
      <w:r w:rsidRPr="00DA35A3">
        <w:rPr>
          <w:b/>
        </w:rPr>
        <w:t>6</w:t>
      </w:r>
      <w:r>
        <w:rPr>
          <w:b/>
        </w:rPr>
        <w:t>.202</w:t>
      </w:r>
      <w:r w:rsidRPr="003B47FA">
        <w:rPr>
          <w:b/>
        </w:rPr>
        <w:t>1</w:t>
      </w:r>
      <w:r w:rsidRPr="007B1B4D">
        <w:rPr>
          <w:b/>
        </w:rPr>
        <w:t xml:space="preserve"> р.; кінець –31.</w:t>
      </w:r>
      <w:r w:rsidRPr="00085551">
        <w:rPr>
          <w:b/>
        </w:rPr>
        <w:t>12</w:t>
      </w:r>
      <w:r w:rsidRPr="007B1B4D">
        <w:rPr>
          <w:b/>
        </w:rPr>
        <w:t>.20</w:t>
      </w:r>
      <w:r>
        <w:rPr>
          <w:b/>
        </w:rPr>
        <w:t>21</w:t>
      </w:r>
      <w:r w:rsidRPr="007B1B4D">
        <w:rPr>
          <w:b/>
        </w:rPr>
        <w:t xml:space="preserve"> р.</w:t>
      </w:r>
    </w:p>
    <w:p w:rsidR="00DA35A3" w:rsidRPr="007B1B4D" w:rsidRDefault="00DA35A3" w:rsidP="00DA35A3">
      <w:pPr>
        <w:ind w:left="0" w:right="86" w:firstLine="567"/>
      </w:pPr>
      <w:r w:rsidRPr="007B1B4D">
        <w:t xml:space="preserve">Не пізніше, ніж за 20 днів до закінчення терміну дії дійсної комерційної пропозиції, Постачальник повідомляє Споживача про нову редакцію комерційної пропозиції шляхом надсилання електронного листа на електрону скриньку Споживача, або надсилає лист до юридичної адреси Споживача. Споживач має або погодитись з запропонованою Постачальником комерційною пропозицією в новій редакції (шляхом її підписання або здійснення оплати рахунку на суми авансу, що буде розрахований відповідно до комерційної пропозиції в новій редакції) або надати письмові заперечення. </w:t>
      </w:r>
    </w:p>
    <w:p w:rsidR="00DA35A3" w:rsidRPr="007B1B4D" w:rsidRDefault="00DA35A3" w:rsidP="00DA35A3">
      <w:pPr>
        <w:pStyle w:val="a4"/>
        <w:numPr>
          <w:ilvl w:val="0"/>
          <w:numId w:val="3"/>
        </w:numPr>
        <w:ind w:left="0" w:right="86" w:firstLine="567"/>
      </w:pPr>
      <w:r w:rsidRPr="007B1B4D">
        <w:rPr>
          <w:b/>
        </w:rPr>
        <w:t xml:space="preserve">        Термін дії договору про постачання електричної енергії:</w:t>
      </w:r>
      <w:r w:rsidRPr="007B1B4D">
        <w:t xml:space="preserve"> Договір про постачання електричної енергії споживачу  набирає чинності з дати підписання Споживачем заяви – приєднання до договору і укладається на строк до </w:t>
      </w:r>
      <w:r w:rsidRPr="007B1B4D">
        <w:rPr>
          <w:b/>
        </w:rPr>
        <w:t>«3</w:t>
      </w:r>
      <w:r>
        <w:rPr>
          <w:b/>
        </w:rPr>
        <w:t xml:space="preserve">1» </w:t>
      </w:r>
      <w:r w:rsidRPr="00085551">
        <w:rPr>
          <w:b/>
        </w:rPr>
        <w:t>грудня</w:t>
      </w:r>
      <w:r>
        <w:rPr>
          <w:b/>
        </w:rPr>
        <w:t xml:space="preserve"> 2021</w:t>
      </w:r>
      <w:r w:rsidRPr="007B1B4D">
        <w:rPr>
          <w:b/>
        </w:rPr>
        <w:t xml:space="preserve"> р</w:t>
      </w:r>
      <w:r w:rsidRPr="007B1B4D">
        <w:t>., а в частині розрахунків договір діє до повного їх виконання.</w:t>
      </w:r>
      <w:r>
        <w:t xml:space="preserve"> Договір вважається продовженим</w:t>
      </w:r>
      <w:r w:rsidRPr="007B1B4D">
        <w:t xml:space="preserve"> кожний наступний календарний рік, якщо за місяць до закінчення терміну дії Договору жодною із Сторін не буде заявлено про припинення його дії або перегляд його умов, але в ніякому разі не більше ніж на термін дії Договору споживача про надання послуг розподілу (передачі) електричної енергії.</w:t>
      </w:r>
    </w:p>
    <w:p w:rsidR="00DA35A3" w:rsidRPr="007B1B4D" w:rsidRDefault="00DA35A3" w:rsidP="00DA35A3">
      <w:pPr>
        <w:ind w:left="0" w:right="92" w:firstLine="567"/>
      </w:pPr>
      <w:r w:rsidRPr="007B1B4D">
        <w:t xml:space="preserve">Постачальник має право в односторонньому порядку розірвати Договір достроково, повідомивши Споживача про це за 20 днів до передбачуваної дати розірвання договору у випадку наявності боргу у розмірі вартості електричної </w:t>
      </w:r>
      <w:r w:rsidRPr="007B1B4D">
        <w:lastRenderedPageBreak/>
        <w:t>енергії, спожитої протягом двох попередніх тижнів, за умови що Постачальник здійснив попередження Споживачу про можливе розірвання  цього Договору.</w:t>
      </w:r>
    </w:p>
    <w:p w:rsidR="00DA35A3" w:rsidRPr="007B1B4D" w:rsidRDefault="00DA35A3" w:rsidP="00DA35A3">
      <w:pPr>
        <w:numPr>
          <w:ilvl w:val="0"/>
          <w:numId w:val="3"/>
        </w:numPr>
        <w:ind w:left="0" w:right="43" w:firstLine="567"/>
      </w:pPr>
      <w:r w:rsidRPr="007B1B4D">
        <w:rPr>
          <w:b/>
        </w:rPr>
        <w:t xml:space="preserve">Штраф за дострокове припинення дії договору: </w:t>
      </w:r>
      <w:r w:rsidRPr="007B1B4D">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Споживача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rsidR="00DA35A3" w:rsidRPr="007B1B4D" w:rsidRDefault="00DA35A3" w:rsidP="00DA35A3">
      <w:pPr>
        <w:ind w:left="0" w:firstLine="567"/>
      </w:pPr>
      <w:r w:rsidRPr="007B1B4D">
        <w:t>Сторони домовились, що у разі звернення споживача (розірвання договору, припинення його дії, тощо)  щодо повернення йому переплати, що виникла за цим договором, постачальник  зобов’язаний</w:t>
      </w:r>
      <w:r>
        <w:t xml:space="preserve"> повернути кошти  протягом 15 банківських днів</w:t>
      </w:r>
      <w:r w:rsidRPr="007B1B4D">
        <w:t>.</w:t>
      </w:r>
    </w:p>
    <w:p w:rsidR="00DA35A3" w:rsidRPr="007B1B4D" w:rsidRDefault="00DA35A3" w:rsidP="00DA35A3">
      <w:pPr>
        <w:numPr>
          <w:ilvl w:val="0"/>
          <w:numId w:val="3"/>
        </w:numPr>
        <w:spacing w:after="4" w:line="271" w:lineRule="auto"/>
        <w:ind w:left="0" w:right="43" w:firstLine="567"/>
      </w:pPr>
      <w:r w:rsidRPr="007B1B4D">
        <w:rPr>
          <w:b/>
        </w:rPr>
        <w:t>Урахування пільг, субсидій:</w:t>
      </w:r>
      <w:r w:rsidRPr="007B1B4D">
        <w:t xml:space="preserve"> Не надаються.</w:t>
      </w:r>
    </w:p>
    <w:p w:rsidR="00DA35A3" w:rsidRDefault="00DA35A3" w:rsidP="00DA35A3">
      <w:pPr>
        <w:numPr>
          <w:ilvl w:val="0"/>
          <w:numId w:val="3"/>
        </w:numPr>
        <w:ind w:left="0" w:right="43" w:firstLine="567"/>
      </w:pPr>
      <w:r w:rsidRPr="007B1B4D">
        <w:rPr>
          <w:b/>
        </w:rPr>
        <w:t>Можливість постачання захищеним споживачам:</w:t>
      </w:r>
      <w:r w:rsidRPr="007B1B4D">
        <w:t xml:space="preserve"> Споживачі, що визначені у встановленому законодавством порядку захищеними, повідомляють про це Постачальника у заяві-приєднання до Договору про постачання електричної енергії споживачу.</w:t>
      </w:r>
    </w:p>
    <w:p w:rsidR="00DA35A3" w:rsidRPr="007B1B4D" w:rsidRDefault="00DA35A3" w:rsidP="00DA35A3">
      <w:pPr>
        <w:spacing w:after="4" w:line="271" w:lineRule="auto"/>
        <w:ind w:left="0" w:firstLine="567"/>
      </w:pPr>
      <w:r w:rsidRPr="007B1B4D">
        <w:rPr>
          <w:b/>
        </w:rPr>
        <w:t>Інше:</w:t>
      </w:r>
    </w:p>
    <w:p w:rsidR="00DA35A3" w:rsidRPr="00AC337B" w:rsidRDefault="00DA35A3" w:rsidP="00DA35A3">
      <w:pPr>
        <w:numPr>
          <w:ilvl w:val="1"/>
          <w:numId w:val="3"/>
        </w:numPr>
        <w:ind w:left="0" w:firstLine="567"/>
        <w:rPr>
          <w:sz w:val="12"/>
          <w:szCs w:val="12"/>
        </w:rPr>
      </w:pPr>
      <w:bookmarkStart w:id="0" w:name="_GoBack"/>
      <w:r w:rsidRPr="00AC337B">
        <w:rPr>
          <w:sz w:val="12"/>
          <w:szCs w:val="12"/>
        </w:rPr>
        <w:t>Споживач має провести оплату на розрахунковий рахунок Постачальника:</w:t>
      </w:r>
    </w:p>
    <w:p w:rsidR="00DA35A3" w:rsidRPr="00AC337B" w:rsidRDefault="00DA35A3" w:rsidP="00DA35A3">
      <w:pPr>
        <w:numPr>
          <w:ilvl w:val="1"/>
          <w:numId w:val="3"/>
        </w:numPr>
        <w:ind w:left="0" w:firstLine="567"/>
        <w:rPr>
          <w:sz w:val="12"/>
          <w:szCs w:val="12"/>
        </w:rPr>
      </w:pPr>
      <w:r w:rsidRPr="00AC337B">
        <w:rPr>
          <w:sz w:val="12"/>
          <w:szCs w:val="12"/>
        </w:rPr>
        <w:t>Споживачу надається можливість обміну документами  з використанням мережі Інтернет як з використанням   електронного цифрового підпису (далі- ЕЦП),  так і без  застосування ЕЦП.</w:t>
      </w:r>
    </w:p>
    <w:p w:rsidR="00DA35A3" w:rsidRPr="00AC337B" w:rsidRDefault="00DA35A3" w:rsidP="00DA35A3">
      <w:pPr>
        <w:numPr>
          <w:ilvl w:val="1"/>
          <w:numId w:val="3"/>
        </w:numPr>
        <w:ind w:left="0" w:firstLine="567"/>
        <w:rPr>
          <w:sz w:val="12"/>
          <w:szCs w:val="12"/>
        </w:rPr>
      </w:pPr>
      <w:r w:rsidRPr="00AC337B">
        <w:rPr>
          <w:sz w:val="12"/>
          <w:szCs w:val="12"/>
        </w:rPr>
        <w:t>Надання платіжного документа споживачу здійснюється будь-яким з  наступних способів:</w:t>
      </w:r>
    </w:p>
    <w:p w:rsidR="00DA35A3" w:rsidRPr="00AC337B" w:rsidRDefault="00DA35A3" w:rsidP="00DA35A3">
      <w:pPr>
        <w:numPr>
          <w:ilvl w:val="1"/>
          <w:numId w:val="4"/>
        </w:numPr>
        <w:ind w:left="0" w:firstLine="567"/>
        <w:rPr>
          <w:sz w:val="12"/>
          <w:szCs w:val="12"/>
        </w:rPr>
      </w:pPr>
      <w:r w:rsidRPr="00AC337B">
        <w:rPr>
          <w:sz w:val="12"/>
          <w:szCs w:val="12"/>
        </w:rPr>
        <w:t>у структурному підрозділі;</w:t>
      </w:r>
    </w:p>
    <w:p w:rsidR="00DA35A3" w:rsidRPr="00AC337B" w:rsidRDefault="00DA35A3" w:rsidP="00DA35A3">
      <w:pPr>
        <w:numPr>
          <w:ilvl w:val="1"/>
          <w:numId w:val="4"/>
        </w:numPr>
        <w:ind w:left="0" w:firstLine="567"/>
        <w:rPr>
          <w:sz w:val="12"/>
          <w:szCs w:val="12"/>
        </w:rPr>
      </w:pPr>
      <w:r w:rsidRPr="00AC337B">
        <w:rPr>
          <w:sz w:val="12"/>
          <w:szCs w:val="12"/>
        </w:rPr>
        <w:t>електронною поштою;</w:t>
      </w:r>
    </w:p>
    <w:p w:rsidR="00DA35A3" w:rsidRPr="00AC337B" w:rsidRDefault="00DA35A3" w:rsidP="00DA35A3">
      <w:pPr>
        <w:numPr>
          <w:ilvl w:val="1"/>
          <w:numId w:val="4"/>
        </w:numPr>
        <w:ind w:left="0" w:firstLine="567"/>
        <w:rPr>
          <w:sz w:val="12"/>
          <w:szCs w:val="12"/>
        </w:rPr>
      </w:pPr>
      <w:r w:rsidRPr="00AC337B">
        <w:rPr>
          <w:sz w:val="12"/>
          <w:szCs w:val="12"/>
        </w:rPr>
        <w:t>іншим способом.</w:t>
      </w:r>
    </w:p>
    <w:p w:rsidR="00DA35A3" w:rsidRPr="00AC337B" w:rsidRDefault="00DA35A3" w:rsidP="00DA35A3">
      <w:pPr>
        <w:numPr>
          <w:ilvl w:val="1"/>
          <w:numId w:val="3"/>
        </w:numPr>
        <w:ind w:left="0" w:firstLine="567"/>
        <w:rPr>
          <w:sz w:val="12"/>
          <w:szCs w:val="12"/>
        </w:rPr>
      </w:pPr>
      <w:r w:rsidRPr="00AC337B">
        <w:rPr>
          <w:sz w:val="12"/>
          <w:szCs w:val="12"/>
        </w:rPr>
        <w:t>Про зміну будь-яких умов договору споживача про постачання електричної енергії Постачальник проінформує Споживача одним з наступних способів:</w:t>
      </w:r>
    </w:p>
    <w:p w:rsidR="00DA35A3" w:rsidRPr="00AC337B" w:rsidRDefault="00DA35A3" w:rsidP="00DA35A3">
      <w:pPr>
        <w:numPr>
          <w:ilvl w:val="1"/>
          <w:numId w:val="3"/>
        </w:numPr>
        <w:ind w:left="0" w:firstLine="567"/>
        <w:rPr>
          <w:sz w:val="12"/>
          <w:szCs w:val="12"/>
        </w:rPr>
      </w:pPr>
      <w:r w:rsidRPr="00AC337B">
        <w:rPr>
          <w:sz w:val="12"/>
          <w:szCs w:val="12"/>
        </w:rPr>
        <w:t>шляхом надсилання електронного листа на електрону скриньку Споживача, або надсилає лист до юридичної адреси Споживача;</w:t>
      </w:r>
    </w:p>
    <w:p w:rsidR="00DA35A3" w:rsidRPr="00AC337B" w:rsidRDefault="00DA35A3" w:rsidP="00DA35A3">
      <w:pPr>
        <w:numPr>
          <w:ilvl w:val="1"/>
          <w:numId w:val="3"/>
        </w:numPr>
        <w:ind w:left="0" w:firstLine="567"/>
        <w:rPr>
          <w:sz w:val="12"/>
          <w:szCs w:val="12"/>
        </w:rPr>
      </w:pPr>
      <w:r w:rsidRPr="00AC337B">
        <w:rPr>
          <w:sz w:val="12"/>
          <w:szCs w:val="12"/>
        </w:rPr>
        <w:t>засобами електронного зв’язку.</w:t>
      </w:r>
    </w:p>
    <w:p w:rsidR="00DA35A3" w:rsidRPr="00AC337B" w:rsidRDefault="00DA35A3" w:rsidP="00DA35A3">
      <w:pPr>
        <w:ind w:left="0" w:right="43" w:firstLine="567"/>
        <w:rPr>
          <w:rStyle w:val="a3"/>
          <w:sz w:val="12"/>
          <w:szCs w:val="12"/>
          <w:u w:color="000000"/>
        </w:rPr>
      </w:pPr>
      <w:r w:rsidRPr="00AC337B">
        <w:rPr>
          <w:sz w:val="12"/>
          <w:szCs w:val="12"/>
        </w:rPr>
        <w:t xml:space="preserve">На теперішній час Споживач має можливість ознайомитись з формою Договору про постачання електричної енергії споживачу  та додатками до договору на офіційному сайті ТОВ «ОДЕСЕНЕРГОТРЕЙД» - </w:t>
      </w:r>
      <w:hyperlink r:id="rId5" w:history="1">
        <w:r w:rsidRPr="00AC337B">
          <w:rPr>
            <w:rStyle w:val="a3"/>
            <w:sz w:val="12"/>
            <w:szCs w:val="12"/>
            <w:u w:color="000000"/>
          </w:rPr>
          <w:t>www.oet.com.ua</w:t>
        </w:r>
      </w:hyperlink>
    </w:p>
    <w:bookmarkEnd w:id="0"/>
    <w:p w:rsidR="00DA35A3" w:rsidRPr="007B1B4D" w:rsidRDefault="00DA35A3" w:rsidP="00DA35A3">
      <w:pPr>
        <w:ind w:left="0" w:right="43" w:firstLine="567"/>
        <w:rPr>
          <w:rStyle w:val="a3"/>
          <w:color w:val="auto"/>
        </w:rPr>
      </w:pPr>
    </w:p>
    <w:tbl>
      <w:tblPr>
        <w:tblStyle w:val="TableGrid"/>
        <w:tblW w:w="31573" w:type="dxa"/>
        <w:tblInd w:w="0" w:type="dxa"/>
        <w:tblLayout w:type="fixed"/>
        <w:tblCellMar>
          <w:top w:w="12" w:type="dxa"/>
        </w:tblCellMar>
        <w:tblLook w:val="04A0" w:firstRow="1" w:lastRow="0" w:firstColumn="1" w:lastColumn="0" w:noHBand="0" w:noVBand="1"/>
      </w:tblPr>
      <w:tblGrid>
        <w:gridCol w:w="9781"/>
        <w:gridCol w:w="9639"/>
        <w:gridCol w:w="9639"/>
        <w:gridCol w:w="2514"/>
      </w:tblGrid>
      <w:tr w:rsidR="00DA35A3" w:rsidRPr="007B1B4D" w:rsidTr="001E297A">
        <w:trPr>
          <w:trHeight w:val="826"/>
        </w:trPr>
        <w:tc>
          <w:tcPr>
            <w:tcW w:w="9781" w:type="dxa"/>
            <w:tcBorders>
              <w:top w:val="nil"/>
              <w:left w:val="nil"/>
              <w:bottom w:val="nil"/>
              <w:right w:val="nil"/>
            </w:tcBorders>
          </w:tcPr>
          <w:p w:rsidR="00DA35A3" w:rsidRDefault="00DA35A3" w:rsidP="001E297A">
            <w:pPr>
              <w:spacing w:after="0" w:line="240" w:lineRule="auto"/>
              <w:ind w:left="0" w:firstLine="0"/>
              <w:rPr>
                <w:sz w:val="20"/>
              </w:rPr>
            </w:pPr>
            <w:r w:rsidRPr="005B3B58">
              <w:rPr>
                <w:sz w:val="20"/>
              </w:rPr>
              <w:t xml:space="preserve">             </w:t>
            </w:r>
            <w:r>
              <w:rPr>
                <w:sz w:val="20"/>
              </w:rPr>
              <w:t xml:space="preserve">    </w:t>
            </w:r>
            <w:r>
              <w:rPr>
                <w:sz w:val="20"/>
                <w:lang w:val="ru-RU"/>
              </w:rPr>
              <w:t xml:space="preserve"> </w:t>
            </w:r>
            <w:r>
              <w:rPr>
                <w:sz w:val="20"/>
              </w:rPr>
              <w:t xml:space="preserve"> Постачальник: </w:t>
            </w:r>
            <w:r>
              <w:rPr>
                <w:sz w:val="20"/>
              </w:rPr>
              <w:tab/>
              <w:t xml:space="preserve">                                                  </w:t>
            </w:r>
            <w:r>
              <w:rPr>
                <w:sz w:val="20"/>
                <w:lang w:val="ru-RU"/>
              </w:rPr>
              <w:t xml:space="preserve">         </w:t>
            </w:r>
            <w:r>
              <w:rPr>
                <w:sz w:val="20"/>
              </w:rPr>
              <w:t xml:space="preserve">      </w:t>
            </w:r>
          </w:p>
          <w:p w:rsidR="00DA35A3" w:rsidRDefault="00DA35A3" w:rsidP="001E297A">
            <w:pPr>
              <w:spacing w:after="0" w:line="240" w:lineRule="auto"/>
              <w:ind w:left="0" w:firstLine="0"/>
              <w:rPr>
                <w:b/>
                <w:sz w:val="20"/>
                <w:lang w:eastAsia="zh-CN"/>
              </w:rPr>
            </w:pPr>
            <w:r>
              <w:rPr>
                <w:b/>
                <w:sz w:val="20"/>
                <w:lang w:val="ru-RU" w:eastAsia="zh-CN"/>
              </w:rPr>
              <w:t xml:space="preserve">   </w:t>
            </w:r>
            <w:r w:rsidRPr="005B3B58">
              <w:rPr>
                <w:b/>
                <w:sz w:val="20"/>
                <w:lang w:eastAsia="zh-CN"/>
              </w:rPr>
              <w:t>ТОВ «ОДЕСЕНЕРГОТРЕЙД»</w:t>
            </w:r>
          </w:p>
          <w:p w:rsidR="00DA35A3" w:rsidRDefault="00DA35A3" w:rsidP="001E297A">
            <w:pPr>
              <w:spacing w:after="0" w:line="240" w:lineRule="auto"/>
              <w:ind w:left="0" w:firstLine="0"/>
              <w:rPr>
                <w:b/>
                <w:sz w:val="20"/>
                <w:lang w:eastAsia="zh-CN"/>
              </w:rPr>
            </w:pPr>
          </w:p>
          <w:p w:rsidR="00DA35A3" w:rsidRPr="007B1B4D" w:rsidRDefault="00DA35A3" w:rsidP="001E297A">
            <w:pPr>
              <w:spacing w:after="0" w:line="240" w:lineRule="auto"/>
              <w:ind w:left="0" w:firstLine="0"/>
              <w:rPr>
                <w:b/>
                <w:sz w:val="20"/>
              </w:rPr>
            </w:pPr>
            <w:r>
              <w:rPr>
                <w:b/>
                <w:sz w:val="20"/>
                <w:lang w:eastAsia="zh-CN"/>
              </w:rPr>
              <w:t>Директор _________________В.В. Коваль</w:t>
            </w:r>
            <w:r w:rsidRPr="005B3B58">
              <w:rPr>
                <w:b/>
                <w:sz w:val="20"/>
                <w:lang w:eastAsia="zh-CN"/>
              </w:rPr>
              <w:tab/>
            </w:r>
            <w:r w:rsidRPr="005B3B58">
              <w:rPr>
                <w:b/>
                <w:sz w:val="20"/>
                <w:lang w:eastAsia="zh-CN"/>
              </w:rPr>
              <w:tab/>
            </w:r>
            <w:r w:rsidRPr="005B3B58">
              <w:rPr>
                <w:b/>
                <w:sz w:val="20"/>
                <w:lang w:eastAsia="zh-CN"/>
              </w:rPr>
              <w:tab/>
            </w:r>
            <w:r w:rsidRPr="005B3B58">
              <w:rPr>
                <w:b/>
                <w:sz w:val="20"/>
                <w:lang w:eastAsia="zh-CN"/>
              </w:rPr>
              <w:tab/>
            </w:r>
            <w:r w:rsidRPr="005B3B58">
              <w:rPr>
                <w:bCs/>
                <w:sz w:val="20"/>
                <w:lang w:eastAsia="zh-CN"/>
              </w:rPr>
              <w:tab/>
            </w:r>
          </w:p>
        </w:tc>
        <w:tc>
          <w:tcPr>
            <w:tcW w:w="9639" w:type="dxa"/>
            <w:tcBorders>
              <w:top w:val="nil"/>
              <w:left w:val="nil"/>
              <w:bottom w:val="nil"/>
              <w:right w:val="nil"/>
            </w:tcBorders>
          </w:tcPr>
          <w:p w:rsidR="00DA35A3" w:rsidRPr="007B1B4D" w:rsidRDefault="00DA35A3" w:rsidP="001E297A">
            <w:pPr>
              <w:spacing w:after="0" w:line="240" w:lineRule="auto"/>
              <w:ind w:left="0" w:firstLine="0"/>
              <w:jc w:val="left"/>
              <w:rPr>
                <w:b/>
                <w:color w:val="auto"/>
                <w:sz w:val="20"/>
                <w:lang w:eastAsia="en-US"/>
              </w:rPr>
            </w:pPr>
          </w:p>
          <w:p w:rsidR="00DA35A3" w:rsidRPr="007B1B4D" w:rsidRDefault="00DA35A3" w:rsidP="001E297A">
            <w:pPr>
              <w:spacing w:after="0" w:line="240" w:lineRule="auto"/>
              <w:ind w:left="0" w:firstLine="0"/>
              <w:jc w:val="left"/>
            </w:pPr>
          </w:p>
        </w:tc>
        <w:tc>
          <w:tcPr>
            <w:tcW w:w="9639" w:type="dxa"/>
            <w:tcBorders>
              <w:top w:val="nil"/>
              <w:left w:val="nil"/>
              <w:bottom w:val="nil"/>
              <w:right w:val="nil"/>
            </w:tcBorders>
          </w:tcPr>
          <w:p w:rsidR="00DA35A3" w:rsidRPr="007B1B4D" w:rsidRDefault="00DA35A3" w:rsidP="001E297A">
            <w:pPr>
              <w:spacing w:after="0" w:line="240" w:lineRule="auto"/>
              <w:ind w:left="0" w:firstLine="708"/>
              <w:rPr>
                <w:color w:val="auto"/>
                <w:sz w:val="22"/>
              </w:rPr>
            </w:pPr>
            <w:r w:rsidRPr="007B1B4D">
              <w:rPr>
                <w:color w:val="auto"/>
                <w:sz w:val="22"/>
              </w:rPr>
              <w:t xml:space="preserve">Постачальник: </w:t>
            </w:r>
            <w:r w:rsidRPr="007B1B4D">
              <w:rPr>
                <w:color w:val="auto"/>
                <w:sz w:val="22"/>
              </w:rPr>
              <w:tab/>
            </w:r>
            <w:r w:rsidRPr="007B1B4D">
              <w:rPr>
                <w:color w:val="auto"/>
                <w:sz w:val="22"/>
              </w:rPr>
              <w:tab/>
            </w:r>
            <w:r w:rsidRPr="007B1B4D">
              <w:rPr>
                <w:color w:val="auto"/>
                <w:sz w:val="22"/>
              </w:rPr>
              <w:tab/>
            </w:r>
            <w:r w:rsidRPr="007B1B4D">
              <w:rPr>
                <w:color w:val="auto"/>
                <w:sz w:val="22"/>
              </w:rPr>
              <w:tab/>
            </w:r>
            <w:r w:rsidRPr="007B1B4D">
              <w:rPr>
                <w:color w:val="auto"/>
                <w:sz w:val="22"/>
              </w:rPr>
              <w:tab/>
            </w:r>
            <w:r w:rsidRPr="007B1B4D">
              <w:rPr>
                <w:color w:val="auto"/>
                <w:sz w:val="22"/>
              </w:rPr>
              <w:tab/>
              <w:t xml:space="preserve">      Споживач:</w:t>
            </w:r>
          </w:p>
          <w:p w:rsidR="00DA35A3" w:rsidRPr="007B1B4D" w:rsidRDefault="00DA35A3" w:rsidP="001E297A">
            <w:pPr>
              <w:tabs>
                <w:tab w:val="left" w:pos="3173"/>
              </w:tabs>
              <w:suppressAutoHyphens/>
              <w:spacing w:after="0" w:line="240" w:lineRule="atLeast"/>
              <w:ind w:left="0" w:firstLine="0"/>
              <w:rPr>
                <w:b/>
                <w:color w:val="auto"/>
                <w:sz w:val="22"/>
                <w:lang w:eastAsia="zh-CN"/>
              </w:rPr>
            </w:pPr>
            <w:r w:rsidRPr="007B1B4D">
              <w:rPr>
                <w:b/>
                <w:color w:val="auto"/>
                <w:sz w:val="22"/>
                <w:lang w:eastAsia="zh-CN"/>
              </w:rPr>
              <w:t>ТОВ «ОДЕСЕНЕРГОТРЕЙД»</w:t>
            </w:r>
            <w:r w:rsidRPr="007B1B4D">
              <w:rPr>
                <w:b/>
                <w:color w:val="auto"/>
                <w:sz w:val="22"/>
                <w:lang w:eastAsia="zh-CN"/>
              </w:rPr>
              <w:tab/>
            </w:r>
            <w:r w:rsidRPr="007B1B4D">
              <w:rPr>
                <w:b/>
                <w:color w:val="auto"/>
                <w:sz w:val="22"/>
                <w:lang w:eastAsia="zh-CN"/>
              </w:rPr>
              <w:tab/>
            </w:r>
            <w:r w:rsidRPr="007B1B4D">
              <w:rPr>
                <w:b/>
                <w:color w:val="auto"/>
                <w:sz w:val="22"/>
                <w:lang w:eastAsia="zh-CN"/>
              </w:rPr>
              <w:tab/>
            </w:r>
            <w:r w:rsidRPr="007B1B4D">
              <w:rPr>
                <w:b/>
                <w:color w:val="auto"/>
                <w:sz w:val="22"/>
                <w:lang w:eastAsia="zh-CN"/>
              </w:rPr>
              <w:tab/>
            </w:r>
            <w:r w:rsidRPr="007B1B4D">
              <w:rPr>
                <w:b/>
                <w:color w:val="auto"/>
                <w:sz w:val="22"/>
                <w:lang w:eastAsia="zh-CN"/>
              </w:rPr>
              <w:tab/>
              <w:t xml:space="preserve">        СФГ «БУШТРУКА»</w:t>
            </w:r>
          </w:p>
          <w:p w:rsidR="00DA35A3" w:rsidRPr="007B1B4D" w:rsidRDefault="00DA35A3" w:rsidP="001E297A">
            <w:pPr>
              <w:tabs>
                <w:tab w:val="left" w:pos="3173"/>
              </w:tabs>
              <w:suppressAutoHyphens/>
              <w:spacing w:after="0" w:line="240" w:lineRule="atLeast"/>
              <w:ind w:left="0" w:firstLine="0"/>
              <w:rPr>
                <w:b/>
                <w:color w:val="auto"/>
                <w:sz w:val="22"/>
                <w:lang w:eastAsia="zh-CN"/>
              </w:rPr>
            </w:pPr>
          </w:p>
          <w:p w:rsidR="00DA35A3" w:rsidRPr="007B1B4D" w:rsidRDefault="00DA35A3" w:rsidP="001E297A">
            <w:pPr>
              <w:suppressAutoHyphens/>
              <w:spacing w:after="0" w:line="240" w:lineRule="atLeast"/>
              <w:ind w:left="0" w:firstLine="0"/>
              <w:rPr>
                <w:rFonts w:ascii="Times New Roman CYR" w:hAnsi="Times New Roman CYR" w:cs="Times New Roman CYR"/>
                <w:color w:val="auto"/>
                <w:sz w:val="22"/>
                <w:lang w:eastAsia="zh-CN"/>
              </w:rPr>
            </w:pPr>
          </w:p>
          <w:p w:rsidR="00DA35A3" w:rsidRPr="007B1B4D" w:rsidRDefault="00DA35A3" w:rsidP="001E297A">
            <w:pPr>
              <w:suppressAutoHyphens/>
              <w:spacing w:after="0" w:line="240" w:lineRule="atLeast"/>
              <w:ind w:left="0" w:firstLine="0"/>
              <w:rPr>
                <w:rFonts w:ascii="Times New Roman CYR" w:hAnsi="Times New Roman CYR" w:cs="Times New Roman CYR"/>
                <w:color w:val="auto"/>
                <w:sz w:val="22"/>
                <w:lang w:eastAsia="zh-CN"/>
              </w:rPr>
            </w:pPr>
            <w:r w:rsidRPr="007B1B4D">
              <w:rPr>
                <w:rFonts w:ascii="Times New Roman CYR" w:hAnsi="Times New Roman CYR" w:cs="Times New Roman CYR"/>
                <w:color w:val="auto"/>
                <w:sz w:val="22"/>
                <w:lang w:eastAsia="zh-CN"/>
              </w:rPr>
              <w:t>Директор</w:t>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proofErr w:type="spellStart"/>
            <w:r w:rsidRPr="007B1B4D">
              <w:rPr>
                <w:rFonts w:ascii="Times New Roman CYR" w:hAnsi="Times New Roman CYR" w:cs="Times New Roman CYR"/>
                <w:color w:val="auto"/>
                <w:sz w:val="22"/>
                <w:lang w:eastAsia="zh-CN"/>
              </w:rPr>
              <w:t>Директор</w:t>
            </w:r>
            <w:proofErr w:type="spellEnd"/>
          </w:p>
          <w:p w:rsidR="00DA35A3" w:rsidRPr="007B1B4D" w:rsidRDefault="00DA35A3" w:rsidP="001E297A">
            <w:pPr>
              <w:suppressAutoHyphens/>
              <w:spacing w:after="0" w:line="240" w:lineRule="atLeast"/>
              <w:ind w:left="0" w:firstLine="0"/>
              <w:rPr>
                <w:rFonts w:ascii="Times New Roman CYR" w:hAnsi="Times New Roman CYR" w:cs="Times New Roman CYR"/>
                <w:color w:val="auto"/>
                <w:sz w:val="22"/>
                <w:lang w:eastAsia="zh-CN"/>
              </w:rPr>
            </w:pPr>
            <w:r w:rsidRPr="007B1B4D">
              <w:rPr>
                <w:rFonts w:ascii="Times New Roman CYR" w:hAnsi="Times New Roman CYR" w:cs="Times New Roman CYR"/>
                <w:color w:val="auto"/>
                <w:sz w:val="22"/>
                <w:lang w:eastAsia="zh-CN"/>
              </w:rPr>
              <w:t>____________________________Коваль В.В.</w:t>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t>_________________________</w:t>
            </w:r>
            <w:proofErr w:type="spellStart"/>
            <w:r w:rsidRPr="007B1B4D">
              <w:rPr>
                <w:rFonts w:ascii="Times New Roman CYR" w:hAnsi="Times New Roman CYR" w:cs="Times New Roman CYR"/>
                <w:color w:val="auto"/>
                <w:sz w:val="22"/>
                <w:lang w:eastAsia="zh-CN"/>
              </w:rPr>
              <w:t>Шрамко</w:t>
            </w:r>
            <w:proofErr w:type="spellEnd"/>
            <w:r w:rsidRPr="007B1B4D">
              <w:rPr>
                <w:rFonts w:ascii="Times New Roman CYR" w:hAnsi="Times New Roman CYR" w:cs="Times New Roman CYR"/>
                <w:color w:val="auto"/>
                <w:sz w:val="22"/>
                <w:lang w:eastAsia="zh-CN"/>
              </w:rPr>
              <w:t xml:space="preserve"> І.А.</w:t>
            </w:r>
          </w:p>
          <w:p w:rsidR="00DA35A3" w:rsidRPr="007B1B4D" w:rsidRDefault="00DA35A3" w:rsidP="001E297A">
            <w:pPr>
              <w:suppressAutoHyphens/>
              <w:spacing w:after="0" w:line="240" w:lineRule="atLeast"/>
              <w:ind w:left="0" w:firstLine="0"/>
              <w:rPr>
                <w:rFonts w:ascii="Times New Roman CYR" w:hAnsi="Times New Roman CYR" w:cs="Times New Roman CYR"/>
                <w:color w:val="auto"/>
                <w:sz w:val="22"/>
                <w:lang w:eastAsia="zh-CN"/>
              </w:rPr>
            </w:pP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r w:rsidRPr="007B1B4D">
              <w:rPr>
                <w:rFonts w:ascii="Times New Roman CYR" w:hAnsi="Times New Roman CYR" w:cs="Times New Roman CYR"/>
                <w:color w:val="auto"/>
                <w:sz w:val="22"/>
                <w:lang w:eastAsia="zh-CN"/>
              </w:rPr>
              <w:tab/>
            </w:r>
          </w:p>
          <w:p w:rsidR="00DA35A3" w:rsidRPr="007B1B4D" w:rsidRDefault="00DA35A3" w:rsidP="001E297A">
            <w:pPr>
              <w:spacing w:after="0" w:line="240" w:lineRule="auto"/>
              <w:ind w:left="0" w:firstLine="0"/>
              <w:jc w:val="left"/>
              <w:rPr>
                <w:color w:val="auto"/>
                <w:sz w:val="16"/>
                <w:szCs w:val="16"/>
              </w:rPr>
            </w:pPr>
            <w:proofErr w:type="spellStart"/>
            <w:r w:rsidRPr="007B1B4D">
              <w:rPr>
                <w:color w:val="auto"/>
                <w:sz w:val="16"/>
                <w:szCs w:val="16"/>
              </w:rPr>
              <w:t>м.п</w:t>
            </w:r>
            <w:proofErr w:type="spellEnd"/>
            <w:r w:rsidRPr="007B1B4D">
              <w:rPr>
                <w:color w:val="auto"/>
                <w:sz w:val="16"/>
                <w:szCs w:val="16"/>
              </w:rPr>
              <w:t>.</w:t>
            </w:r>
            <w:r w:rsidRPr="007B1B4D">
              <w:rPr>
                <w:color w:val="auto"/>
                <w:sz w:val="16"/>
                <w:szCs w:val="16"/>
              </w:rPr>
              <w:tab/>
            </w:r>
            <w:r w:rsidRPr="007B1B4D">
              <w:rPr>
                <w:color w:val="auto"/>
                <w:sz w:val="16"/>
                <w:szCs w:val="16"/>
              </w:rPr>
              <w:tab/>
            </w:r>
            <w:r w:rsidRPr="007B1B4D">
              <w:rPr>
                <w:color w:val="auto"/>
                <w:sz w:val="16"/>
                <w:szCs w:val="16"/>
              </w:rPr>
              <w:tab/>
            </w:r>
            <w:r w:rsidRPr="007B1B4D">
              <w:rPr>
                <w:color w:val="auto"/>
                <w:sz w:val="16"/>
                <w:szCs w:val="16"/>
              </w:rPr>
              <w:tab/>
            </w:r>
            <w:r w:rsidRPr="007B1B4D">
              <w:rPr>
                <w:color w:val="auto"/>
                <w:sz w:val="16"/>
                <w:szCs w:val="16"/>
              </w:rPr>
              <w:tab/>
            </w:r>
            <w:r w:rsidRPr="007B1B4D">
              <w:rPr>
                <w:color w:val="auto"/>
                <w:sz w:val="16"/>
                <w:szCs w:val="16"/>
              </w:rPr>
              <w:tab/>
            </w:r>
            <w:r w:rsidRPr="007B1B4D">
              <w:rPr>
                <w:color w:val="auto"/>
                <w:sz w:val="16"/>
                <w:szCs w:val="16"/>
              </w:rPr>
              <w:tab/>
            </w:r>
            <w:r w:rsidRPr="007B1B4D">
              <w:rPr>
                <w:color w:val="auto"/>
                <w:sz w:val="16"/>
                <w:szCs w:val="16"/>
              </w:rPr>
              <w:tab/>
            </w:r>
            <w:proofErr w:type="spellStart"/>
            <w:r w:rsidRPr="007B1B4D">
              <w:rPr>
                <w:color w:val="auto"/>
                <w:sz w:val="16"/>
                <w:szCs w:val="16"/>
              </w:rPr>
              <w:t>м.п</w:t>
            </w:r>
            <w:proofErr w:type="spellEnd"/>
            <w:r w:rsidRPr="007B1B4D">
              <w:rPr>
                <w:color w:val="auto"/>
                <w:sz w:val="16"/>
                <w:szCs w:val="16"/>
              </w:rPr>
              <w:t>.</w:t>
            </w:r>
            <w:r w:rsidRPr="007B1B4D">
              <w:rPr>
                <w:color w:val="auto"/>
                <w:sz w:val="16"/>
                <w:szCs w:val="16"/>
              </w:rPr>
              <w:tab/>
            </w:r>
          </w:p>
          <w:p w:rsidR="00DA35A3" w:rsidRPr="007B1B4D" w:rsidRDefault="00DA35A3" w:rsidP="001E297A">
            <w:pPr>
              <w:spacing w:after="0" w:line="259" w:lineRule="auto"/>
              <w:ind w:left="0" w:right="371" w:firstLine="567"/>
              <w:rPr>
                <w:b/>
                <w:sz w:val="20"/>
              </w:rPr>
            </w:pPr>
          </w:p>
        </w:tc>
        <w:tc>
          <w:tcPr>
            <w:tcW w:w="2514" w:type="dxa"/>
            <w:tcBorders>
              <w:top w:val="nil"/>
              <w:left w:val="nil"/>
              <w:bottom w:val="nil"/>
              <w:right w:val="nil"/>
            </w:tcBorders>
          </w:tcPr>
          <w:p w:rsidR="00DA35A3" w:rsidRPr="007B1B4D" w:rsidRDefault="00DA35A3" w:rsidP="001E297A">
            <w:pPr>
              <w:spacing w:after="0" w:line="259" w:lineRule="auto"/>
              <w:ind w:left="0" w:firstLine="567"/>
              <w:jc w:val="center"/>
            </w:pPr>
          </w:p>
        </w:tc>
      </w:tr>
    </w:tbl>
    <w:p w:rsidR="004D45C5" w:rsidRDefault="004D45C5"/>
    <w:sectPr w:rsidR="004D45C5" w:rsidSect="00DA35A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E75F8"/>
    <w:multiLevelType w:val="multilevel"/>
    <w:tmpl w:val="118EC6B2"/>
    <w:lvl w:ilvl="0">
      <w:start w:val="2"/>
      <w:numFmt w:val="decimal"/>
      <w:lvlText w:val="%1."/>
      <w:lvlJc w:val="left"/>
      <w:pPr>
        <w:ind w:left="360" w:hanging="360"/>
      </w:pPr>
      <w:rPr>
        <w:rFonts w:hint="default"/>
        <w:b/>
      </w:rPr>
    </w:lvl>
    <w:lvl w:ilvl="1">
      <w:start w:val="3"/>
      <w:numFmt w:val="decimal"/>
      <w:lvlText w:val="%1.%2."/>
      <w:lvlJc w:val="left"/>
      <w:pPr>
        <w:ind w:left="926" w:hanging="360"/>
      </w:pPr>
      <w:rPr>
        <w:rFonts w:hint="default"/>
        <w:b/>
        <w:i/>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2984" w:hanging="72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476" w:hanging="1080"/>
      </w:pPr>
      <w:rPr>
        <w:rFonts w:hint="default"/>
      </w:rPr>
    </w:lvl>
    <w:lvl w:ilvl="7">
      <w:start w:val="1"/>
      <w:numFmt w:val="decimal"/>
      <w:lvlText w:val="%1.%2.%3.%4.%5.%6.%7.%8."/>
      <w:lvlJc w:val="left"/>
      <w:pPr>
        <w:ind w:left="5042" w:hanging="1080"/>
      </w:pPr>
      <w:rPr>
        <w:rFonts w:hint="default"/>
      </w:rPr>
    </w:lvl>
    <w:lvl w:ilvl="8">
      <w:start w:val="1"/>
      <w:numFmt w:val="decimal"/>
      <w:lvlText w:val="%1.%2.%3.%4.%5.%6.%7.%8.%9."/>
      <w:lvlJc w:val="left"/>
      <w:pPr>
        <w:ind w:left="5968" w:hanging="1440"/>
      </w:pPr>
      <w:rPr>
        <w:rFonts w:hint="default"/>
      </w:rPr>
    </w:lvl>
  </w:abstractNum>
  <w:abstractNum w:abstractNumId="1" w15:restartNumberingAfterBreak="0">
    <w:nsid w:val="408436FC"/>
    <w:multiLevelType w:val="multilevel"/>
    <w:tmpl w:val="408436FC"/>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 w15:restartNumberingAfterBreak="0">
    <w:nsid w:val="4520154A"/>
    <w:multiLevelType w:val="multilevel"/>
    <w:tmpl w:val="4520154A"/>
    <w:lvl w:ilvl="0">
      <w:start w:val="6"/>
      <w:numFmt w:val="decimal"/>
      <w:lvlText w:val="%1."/>
      <w:lvlJc w:val="left"/>
      <w:pPr>
        <w:ind w:left="273"/>
      </w:pPr>
      <w:rPr>
        <w:rFonts w:ascii="Times New Roman" w:eastAsia="Times New Roman" w:hAnsi="Times New Roman" w:cs="Times New Roman"/>
        <w:b/>
        <w:bCs/>
        <w:i w:val="0"/>
        <w:strike w:val="0"/>
        <w:dstrike w:val="0"/>
        <w:color w:val="000000"/>
        <w:sz w:val="18"/>
        <w:szCs w:val="18"/>
        <w:u w:val="none" w:color="000000"/>
        <w:shd w:val="clear" w:color="auto" w:fill="auto"/>
        <w:vertAlign w:val="baseline"/>
      </w:rPr>
    </w:lvl>
    <w:lvl w:ilvl="1">
      <w:start w:val="1"/>
      <w:numFmt w:val="bullet"/>
      <w:lvlText w:val=""/>
      <w:lvlJc w:val="left"/>
      <w:pPr>
        <w:ind w:left="720"/>
      </w:pPr>
      <w:rPr>
        <w:rFonts w:ascii="Wingdings" w:eastAsia="Wingdings" w:hAnsi="Wingdings" w:cs="Wingdings"/>
        <w:b w:val="0"/>
        <w:i w:val="0"/>
        <w:strike w:val="0"/>
        <w:dstrike w:val="0"/>
        <w:color w:val="000000"/>
        <w:sz w:val="18"/>
        <w:szCs w:val="18"/>
        <w:u w:val="none" w:color="000000"/>
        <w:shd w:val="clear" w:color="auto" w:fill="auto"/>
        <w:vertAlign w:val="baseline"/>
      </w:rPr>
    </w:lvl>
    <w:lvl w:ilvl="2">
      <w:start w:val="1"/>
      <w:numFmt w:val="bullet"/>
      <w:lvlText w:val="▪"/>
      <w:lvlJc w:val="left"/>
      <w:pPr>
        <w:ind w:left="1440"/>
      </w:pPr>
      <w:rPr>
        <w:rFonts w:ascii="Wingdings" w:eastAsia="Wingdings" w:hAnsi="Wingdings" w:cs="Wingdings"/>
        <w:b w:val="0"/>
        <w:i w:val="0"/>
        <w:strike w:val="0"/>
        <w:dstrike w:val="0"/>
        <w:color w:val="000000"/>
        <w:sz w:val="18"/>
        <w:szCs w:val="18"/>
        <w:u w:val="none" w:color="000000"/>
        <w:shd w:val="clear" w:color="auto" w:fill="auto"/>
        <w:vertAlign w:val="baseline"/>
      </w:rPr>
    </w:lvl>
    <w:lvl w:ilvl="3">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shd w:val="clear" w:color="auto" w:fill="auto"/>
        <w:vertAlign w:val="baseline"/>
      </w:rPr>
    </w:lvl>
    <w:lvl w:ilvl="4">
      <w:start w:val="1"/>
      <w:numFmt w:val="bullet"/>
      <w:lvlText w:val="o"/>
      <w:lvlJc w:val="left"/>
      <w:pPr>
        <w:ind w:left="2880"/>
      </w:pPr>
      <w:rPr>
        <w:rFonts w:ascii="Wingdings" w:eastAsia="Wingdings" w:hAnsi="Wingdings" w:cs="Wingdings"/>
        <w:b w:val="0"/>
        <w:i w:val="0"/>
        <w:strike w:val="0"/>
        <w:dstrike w:val="0"/>
        <w:color w:val="000000"/>
        <w:sz w:val="18"/>
        <w:szCs w:val="18"/>
        <w:u w:val="none" w:color="000000"/>
        <w:shd w:val="clear" w:color="auto" w:fill="auto"/>
        <w:vertAlign w:val="baseline"/>
      </w:rPr>
    </w:lvl>
    <w:lvl w:ilvl="5">
      <w:start w:val="1"/>
      <w:numFmt w:val="bullet"/>
      <w:lvlText w:val="▪"/>
      <w:lvlJc w:val="left"/>
      <w:pPr>
        <w:ind w:left="3600"/>
      </w:pPr>
      <w:rPr>
        <w:rFonts w:ascii="Wingdings" w:eastAsia="Wingdings" w:hAnsi="Wingdings" w:cs="Wingdings"/>
        <w:b w:val="0"/>
        <w:i w:val="0"/>
        <w:strike w:val="0"/>
        <w:dstrike w:val="0"/>
        <w:color w:val="000000"/>
        <w:sz w:val="18"/>
        <w:szCs w:val="18"/>
        <w:u w:val="none" w:color="000000"/>
        <w:shd w:val="clear" w:color="auto" w:fill="auto"/>
        <w:vertAlign w:val="baseline"/>
      </w:rPr>
    </w:lvl>
    <w:lvl w:ilvl="6">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shd w:val="clear" w:color="auto" w:fill="auto"/>
        <w:vertAlign w:val="baseline"/>
      </w:rPr>
    </w:lvl>
    <w:lvl w:ilvl="7">
      <w:start w:val="1"/>
      <w:numFmt w:val="bullet"/>
      <w:lvlText w:val="o"/>
      <w:lvlJc w:val="left"/>
      <w:pPr>
        <w:ind w:left="5040"/>
      </w:pPr>
      <w:rPr>
        <w:rFonts w:ascii="Wingdings" w:eastAsia="Wingdings" w:hAnsi="Wingdings" w:cs="Wingdings"/>
        <w:b w:val="0"/>
        <w:i w:val="0"/>
        <w:strike w:val="0"/>
        <w:dstrike w:val="0"/>
        <w:color w:val="000000"/>
        <w:sz w:val="18"/>
        <w:szCs w:val="18"/>
        <w:u w:val="none" w:color="000000"/>
        <w:shd w:val="clear" w:color="auto" w:fill="auto"/>
        <w:vertAlign w:val="baseline"/>
      </w:rPr>
    </w:lvl>
    <w:lvl w:ilvl="8">
      <w:start w:val="1"/>
      <w:numFmt w:val="bullet"/>
      <w:lvlText w:val="▪"/>
      <w:lvlJc w:val="left"/>
      <w:pPr>
        <w:ind w:left="5760"/>
      </w:pPr>
      <w:rPr>
        <w:rFonts w:ascii="Wingdings" w:eastAsia="Wingdings" w:hAnsi="Wingdings" w:cs="Wingdings"/>
        <w:b w:val="0"/>
        <w:i w:val="0"/>
        <w:strike w:val="0"/>
        <w:dstrike w:val="0"/>
        <w:color w:val="000000"/>
        <w:sz w:val="18"/>
        <w:szCs w:val="18"/>
        <w:u w:val="none" w:color="000000"/>
        <w:shd w:val="clear" w:color="auto" w:fill="auto"/>
        <w:vertAlign w:val="baseline"/>
      </w:rPr>
    </w:lvl>
  </w:abstractNum>
  <w:abstractNum w:abstractNumId="3" w15:restartNumberingAfterBreak="0">
    <w:nsid w:val="4FAD751A"/>
    <w:multiLevelType w:val="multilevel"/>
    <w:tmpl w:val="4FAD751A"/>
    <w:lvl w:ilvl="0">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shd w:val="clear" w:color="auto" w:fill="auto"/>
        <w:vertAlign w:val="baseline"/>
      </w:rPr>
    </w:lvl>
    <w:lvl w:ilvl="1">
      <w:start w:val="1"/>
      <w:numFmt w:val="bullet"/>
      <w:lvlText w:val="-"/>
      <w:lvlJc w:val="left"/>
      <w:pPr>
        <w:ind w:left="735"/>
      </w:pPr>
      <w:rPr>
        <w:rFonts w:ascii="Times New Roman" w:eastAsia="Times New Roman" w:hAnsi="Times New Roman" w:cs="Times New Roman"/>
        <w:b w:val="0"/>
        <w:i w:val="0"/>
        <w:strike w:val="0"/>
        <w:dstrike w:val="0"/>
        <w:color w:val="000000"/>
        <w:sz w:val="18"/>
        <w:szCs w:val="18"/>
        <w:u w:val="none" w:color="000000"/>
        <w:shd w:val="clear" w:color="auto" w:fill="auto"/>
        <w:vertAlign w:val="baseline"/>
      </w:rPr>
    </w:lvl>
    <w:lvl w:ilvl="2">
      <w:start w:val="1"/>
      <w:numFmt w:val="bullet"/>
      <w:lvlText w:val="▪"/>
      <w:lvlJc w:val="left"/>
      <w:pPr>
        <w:ind w:left="1441"/>
      </w:pPr>
      <w:rPr>
        <w:rFonts w:ascii="Times New Roman" w:eastAsia="Times New Roman" w:hAnsi="Times New Roman" w:cs="Times New Roman"/>
        <w:b w:val="0"/>
        <w:i w:val="0"/>
        <w:strike w:val="0"/>
        <w:dstrike w:val="0"/>
        <w:color w:val="000000"/>
        <w:sz w:val="18"/>
        <w:szCs w:val="18"/>
        <w:u w:val="none" w:color="000000"/>
        <w:shd w:val="clear" w:color="auto" w:fill="auto"/>
        <w:vertAlign w:val="baseline"/>
      </w:rPr>
    </w:lvl>
    <w:lvl w:ilvl="3">
      <w:start w:val="1"/>
      <w:numFmt w:val="bullet"/>
      <w:lvlText w:val="•"/>
      <w:lvlJc w:val="left"/>
      <w:pPr>
        <w:ind w:left="2161"/>
      </w:pPr>
      <w:rPr>
        <w:rFonts w:ascii="Times New Roman" w:eastAsia="Times New Roman" w:hAnsi="Times New Roman" w:cs="Times New Roman"/>
        <w:b w:val="0"/>
        <w:i w:val="0"/>
        <w:strike w:val="0"/>
        <w:dstrike w:val="0"/>
        <w:color w:val="000000"/>
        <w:sz w:val="18"/>
        <w:szCs w:val="18"/>
        <w:u w:val="none" w:color="000000"/>
        <w:shd w:val="clear" w:color="auto" w:fill="auto"/>
        <w:vertAlign w:val="baseline"/>
      </w:rPr>
    </w:lvl>
    <w:lvl w:ilvl="4">
      <w:start w:val="1"/>
      <w:numFmt w:val="bullet"/>
      <w:lvlText w:val="o"/>
      <w:lvlJc w:val="left"/>
      <w:pPr>
        <w:ind w:left="2881"/>
      </w:pPr>
      <w:rPr>
        <w:rFonts w:ascii="Times New Roman" w:eastAsia="Times New Roman" w:hAnsi="Times New Roman" w:cs="Times New Roman"/>
        <w:b w:val="0"/>
        <w:i w:val="0"/>
        <w:strike w:val="0"/>
        <w:dstrike w:val="0"/>
        <w:color w:val="000000"/>
        <w:sz w:val="18"/>
        <w:szCs w:val="18"/>
        <w:u w:val="none" w:color="000000"/>
        <w:shd w:val="clear" w:color="auto" w:fill="auto"/>
        <w:vertAlign w:val="baseline"/>
      </w:rPr>
    </w:lvl>
    <w:lvl w:ilvl="5">
      <w:start w:val="1"/>
      <w:numFmt w:val="bullet"/>
      <w:lvlText w:val="▪"/>
      <w:lvlJc w:val="left"/>
      <w:pPr>
        <w:ind w:left="3601"/>
      </w:pPr>
      <w:rPr>
        <w:rFonts w:ascii="Times New Roman" w:eastAsia="Times New Roman" w:hAnsi="Times New Roman" w:cs="Times New Roman"/>
        <w:b w:val="0"/>
        <w:i w:val="0"/>
        <w:strike w:val="0"/>
        <w:dstrike w:val="0"/>
        <w:color w:val="000000"/>
        <w:sz w:val="18"/>
        <w:szCs w:val="18"/>
        <w:u w:val="none" w:color="000000"/>
        <w:shd w:val="clear" w:color="auto" w:fill="auto"/>
        <w:vertAlign w:val="baseline"/>
      </w:rPr>
    </w:lvl>
    <w:lvl w:ilvl="6">
      <w:start w:val="1"/>
      <w:numFmt w:val="bullet"/>
      <w:lvlText w:val="•"/>
      <w:lvlJc w:val="left"/>
      <w:pPr>
        <w:ind w:left="4321"/>
      </w:pPr>
      <w:rPr>
        <w:rFonts w:ascii="Times New Roman" w:eastAsia="Times New Roman" w:hAnsi="Times New Roman" w:cs="Times New Roman"/>
        <w:b w:val="0"/>
        <w:i w:val="0"/>
        <w:strike w:val="0"/>
        <w:dstrike w:val="0"/>
        <w:color w:val="000000"/>
        <w:sz w:val="18"/>
        <w:szCs w:val="18"/>
        <w:u w:val="none" w:color="000000"/>
        <w:shd w:val="clear" w:color="auto" w:fill="auto"/>
        <w:vertAlign w:val="baseline"/>
      </w:rPr>
    </w:lvl>
    <w:lvl w:ilvl="7">
      <w:start w:val="1"/>
      <w:numFmt w:val="bullet"/>
      <w:lvlText w:val="o"/>
      <w:lvlJc w:val="left"/>
      <w:pPr>
        <w:ind w:left="5041"/>
      </w:pPr>
      <w:rPr>
        <w:rFonts w:ascii="Times New Roman" w:eastAsia="Times New Roman" w:hAnsi="Times New Roman" w:cs="Times New Roman"/>
        <w:b w:val="0"/>
        <w:i w:val="0"/>
        <w:strike w:val="0"/>
        <w:dstrike w:val="0"/>
        <w:color w:val="000000"/>
        <w:sz w:val="18"/>
        <w:szCs w:val="18"/>
        <w:u w:val="none" w:color="000000"/>
        <w:shd w:val="clear" w:color="auto" w:fill="auto"/>
        <w:vertAlign w:val="baseline"/>
      </w:rPr>
    </w:lvl>
    <w:lvl w:ilvl="8">
      <w:start w:val="1"/>
      <w:numFmt w:val="bullet"/>
      <w:lvlText w:val="▪"/>
      <w:lvlJc w:val="left"/>
      <w:pPr>
        <w:ind w:left="5761"/>
      </w:pPr>
      <w:rPr>
        <w:rFonts w:ascii="Times New Roman" w:eastAsia="Times New Roman" w:hAnsi="Times New Roman" w:cs="Times New Roman"/>
        <w:b w:val="0"/>
        <w:i w:val="0"/>
        <w:strike w:val="0"/>
        <w:dstrike w:val="0"/>
        <w:color w:val="000000"/>
        <w:sz w:val="18"/>
        <w:szCs w:val="18"/>
        <w:u w:val="none" w:color="000000"/>
        <w:shd w:val="clear" w:color="auto" w:fill="auto"/>
        <w:vertAlign w:val="baseline"/>
      </w:rPr>
    </w:lvl>
  </w:abstractNum>
  <w:abstractNum w:abstractNumId="4" w15:restartNumberingAfterBreak="0">
    <w:nsid w:val="509F3498"/>
    <w:multiLevelType w:val="multilevel"/>
    <w:tmpl w:val="509F3498"/>
    <w:lvl w:ilvl="0">
      <w:start w:val="1"/>
      <w:numFmt w:val="decimal"/>
      <w:lvlText w:val="%1."/>
      <w:lvlJc w:val="left"/>
      <w:pPr>
        <w:ind w:left="182"/>
      </w:pPr>
      <w:rPr>
        <w:rFonts w:ascii="Times New Roman" w:eastAsia="Times New Roman" w:hAnsi="Times New Roman" w:cs="Times New Roman"/>
        <w:b/>
        <w:bCs/>
        <w:i w:val="0"/>
        <w:strike w:val="0"/>
        <w:dstrike w:val="0"/>
        <w:color w:val="000000"/>
        <w:sz w:val="18"/>
        <w:szCs w:val="18"/>
        <w:u w:val="none" w:color="000000"/>
        <w:shd w:val="clear" w:color="auto" w:fill="auto"/>
        <w:vertAlign w:val="baseline"/>
      </w:rPr>
    </w:lvl>
    <w:lvl w:ilvl="1">
      <w:start w:val="1"/>
      <w:numFmt w:val="decimal"/>
      <w:lvlText w:val="%1.%2."/>
      <w:lvlJc w:val="left"/>
      <w:pPr>
        <w:ind w:left="730"/>
      </w:pPr>
      <w:rPr>
        <w:rFonts w:ascii="Times New Roman" w:eastAsia="Times New Roman" w:hAnsi="Times New Roman" w:cs="Times New Roman"/>
        <w:b/>
        <w:bCs/>
        <w:i/>
        <w:iCs/>
        <w:strike w:val="0"/>
        <w:dstrike w:val="0"/>
        <w:color w:val="000000"/>
        <w:sz w:val="18"/>
        <w:szCs w:val="18"/>
        <w:u w:val="none" w:color="000000"/>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bCs/>
        <w:i/>
        <w:iCs/>
        <w:strike w:val="0"/>
        <w:dstrike w:val="0"/>
        <w:color w:val="000000"/>
        <w:sz w:val="18"/>
        <w:szCs w:val="18"/>
        <w:u w:val="none" w:color="000000"/>
        <w:shd w:val="clear" w:color="auto" w:fill="auto"/>
        <w:vertAlign w:val="baseline"/>
      </w:rPr>
    </w:lvl>
    <w:lvl w:ilvl="3">
      <w:start w:val="1"/>
      <w:numFmt w:val="decimal"/>
      <w:lvlText w:val="%4"/>
      <w:lvlJc w:val="left"/>
      <w:pPr>
        <w:ind w:left="2083"/>
      </w:pPr>
      <w:rPr>
        <w:rFonts w:ascii="Times New Roman" w:eastAsia="Times New Roman" w:hAnsi="Times New Roman" w:cs="Times New Roman"/>
        <w:b/>
        <w:bCs/>
        <w:i/>
        <w:iCs/>
        <w:strike w:val="0"/>
        <w:dstrike w:val="0"/>
        <w:color w:val="000000"/>
        <w:sz w:val="18"/>
        <w:szCs w:val="18"/>
        <w:u w:val="none" w:color="000000"/>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bCs/>
        <w:i/>
        <w:iCs/>
        <w:strike w:val="0"/>
        <w:dstrike w:val="0"/>
        <w:color w:val="000000"/>
        <w:sz w:val="18"/>
        <w:szCs w:val="18"/>
        <w:u w:val="none" w:color="000000"/>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bCs/>
        <w:i/>
        <w:iCs/>
        <w:strike w:val="0"/>
        <w:dstrike w:val="0"/>
        <w:color w:val="000000"/>
        <w:sz w:val="18"/>
        <w:szCs w:val="18"/>
        <w:u w:val="none" w:color="000000"/>
        <w:shd w:val="clear" w:color="auto" w:fill="auto"/>
        <w:vertAlign w:val="baseline"/>
      </w:rPr>
    </w:lvl>
    <w:lvl w:ilvl="6">
      <w:start w:val="1"/>
      <w:numFmt w:val="decimal"/>
      <w:lvlText w:val="%7"/>
      <w:lvlJc w:val="left"/>
      <w:pPr>
        <w:ind w:left="4243"/>
      </w:pPr>
      <w:rPr>
        <w:rFonts w:ascii="Times New Roman" w:eastAsia="Times New Roman" w:hAnsi="Times New Roman" w:cs="Times New Roman"/>
        <w:b/>
        <w:bCs/>
        <w:i/>
        <w:iCs/>
        <w:strike w:val="0"/>
        <w:dstrike w:val="0"/>
        <w:color w:val="000000"/>
        <w:sz w:val="18"/>
        <w:szCs w:val="18"/>
        <w:u w:val="none" w:color="000000"/>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bCs/>
        <w:i/>
        <w:iCs/>
        <w:strike w:val="0"/>
        <w:dstrike w:val="0"/>
        <w:color w:val="000000"/>
        <w:sz w:val="18"/>
        <w:szCs w:val="18"/>
        <w:u w:val="none" w:color="000000"/>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bCs/>
        <w:i/>
        <w:iCs/>
        <w:strike w:val="0"/>
        <w:dstrike w:val="0"/>
        <w:color w:val="000000"/>
        <w:sz w:val="18"/>
        <w:szCs w:val="18"/>
        <w:u w:val="none" w:color="000000"/>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52"/>
    <w:rsid w:val="004D45C5"/>
    <w:rsid w:val="00AC337B"/>
    <w:rsid w:val="00DA35A3"/>
    <w:rsid w:val="00F5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81745-1622-4259-9A3E-24E7C329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5A3"/>
    <w:pPr>
      <w:spacing w:after="13" w:line="268" w:lineRule="auto"/>
      <w:ind w:left="2075" w:hanging="10"/>
      <w:jc w:val="both"/>
    </w:pPr>
    <w:rPr>
      <w:rFonts w:ascii="Times New Roman" w:eastAsia="Times New Roman" w:hAnsi="Times New Roman" w:cs="Times New Roman"/>
      <w:color w:val="000000"/>
      <w:sz w:val="1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DA35A3"/>
    <w:rPr>
      <w:color w:val="0563C1" w:themeColor="hyperlink"/>
      <w:u w:val="single"/>
    </w:rPr>
  </w:style>
  <w:style w:type="paragraph" w:styleId="a4">
    <w:name w:val="List Paragraph"/>
    <w:basedOn w:val="a"/>
    <w:uiPriority w:val="34"/>
    <w:qFormat/>
    <w:rsid w:val="00DA35A3"/>
    <w:pPr>
      <w:ind w:left="720"/>
      <w:contextualSpacing/>
    </w:pPr>
  </w:style>
  <w:style w:type="table" w:customStyle="1" w:styleId="TableGrid">
    <w:name w:val="TableGrid"/>
    <w:rsid w:val="00DA35A3"/>
    <w:pPr>
      <w:spacing w:after="0" w:line="240" w:lineRule="auto"/>
    </w:pPr>
    <w:rPr>
      <w:rFonts w:eastAsiaTheme="minorEastAsia"/>
      <w:sz w:val="20"/>
      <w:szCs w:val="20"/>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t.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1895</Words>
  <Characters>10802</Characters>
  <Application>Microsoft Office Word</Application>
  <DocSecurity>0</DocSecurity>
  <Lines>90</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2021-05-26T11:48:00Z</dcterms:created>
  <dcterms:modified xsi:type="dcterms:W3CDTF">2021-05-27T10:41:00Z</dcterms:modified>
</cp:coreProperties>
</file>